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7C068CE0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PŘÍLOHA Č. </w:t>
      </w:r>
      <w:r w:rsidR="00A7232D">
        <w:rPr>
          <w:rFonts w:cs="Tahoma"/>
          <w:b/>
          <w:sz w:val="28"/>
          <w:lang w:eastAsia="cs-CZ"/>
        </w:rPr>
        <w:t>7</w:t>
      </w:r>
      <w:r w:rsidR="00C4391E">
        <w:rPr>
          <w:rFonts w:cs="Tahoma"/>
          <w:b/>
          <w:sz w:val="28"/>
          <w:lang w:eastAsia="cs-CZ"/>
        </w:rPr>
        <w:t xml:space="preserve"> DOKUMENTACE ZADÁVACÍHO ŘÍZENÍ</w:t>
      </w:r>
      <w:r w:rsidRPr="00276426">
        <w:rPr>
          <w:rFonts w:cs="Tahoma"/>
          <w:b/>
          <w:sz w:val="28"/>
          <w:lang w:eastAsia="cs-CZ"/>
        </w:rPr>
        <w:t xml:space="preserve"> 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19F5F8E3" w:rsidR="002512C7" w:rsidRPr="00C4391E" w:rsidRDefault="00AE250C" w:rsidP="00056FB8">
      <w:pPr>
        <w:pStyle w:val="2nesltext"/>
        <w:spacing w:before="240" w:after="600"/>
        <w:jc w:val="center"/>
        <w:rPr>
          <w:rFonts w:cs="Tahoma"/>
          <w:b/>
          <w:bCs/>
          <w:caps/>
          <w:sz w:val="28"/>
          <w:szCs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PŘEDLOHA ČESTNÉHO PROHLÁŠENÍ O </w:t>
      </w:r>
      <w:r w:rsidR="00C4391E" w:rsidRPr="00C4391E">
        <w:rPr>
          <w:rFonts w:cs="Tahoma"/>
          <w:b/>
          <w:bCs/>
          <w:caps/>
          <w:sz w:val="28"/>
          <w:szCs w:val="28"/>
        </w:rPr>
        <w:t>neexistenci střetu zájmů a neexistenci překážek pro zadání veřejné zakázky</w:t>
      </w:r>
    </w:p>
    <w:p w14:paraId="04A43DC5" w14:textId="77777777" w:rsidR="00C4391E" w:rsidRPr="00C4391E" w:rsidRDefault="00AE250C" w:rsidP="00C4391E">
      <w:pPr>
        <w:pStyle w:val="2nesltext"/>
        <w:spacing w:before="240" w:after="600"/>
        <w:jc w:val="center"/>
        <w:rPr>
          <w:rFonts w:cs="Tahoma"/>
          <w:b/>
          <w:bCs/>
          <w:caps/>
          <w:sz w:val="28"/>
          <w:szCs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ČESTNÉ PROHLÁŠENÍ O </w:t>
      </w:r>
      <w:r w:rsidR="00C4391E" w:rsidRPr="00C4391E">
        <w:rPr>
          <w:rFonts w:cs="Tahoma"/>
          <w:b/>
          <w:bCs/>
          <w:caps/>
          <w:sz w:val="28"/>
          <w:szCs w:val="28"/>
        </w:rPr>
        <w:t>neexistenci střetu zájmů a neexistenci překážek pro zadání veřejné zakázky</w:t>
      </w:r>
    </w:p>
    <w:p w14:paraId="7D62D37E" w14:textId="02A8E509" w:rsidR="002512C7" w:rsidRPr="00276426" w:rsidRDefault="002512C7" w:rsidP="002512C7">
      <w:pPr>
        <w:pStyle w:val="2nesltext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Dodavatel </w:t>
      </w:r>
      <w:r w:rsidR="009E2C37" w:rsidRPr="00276426">
        <w:rPr>
          <w:rFonts w:cs="Tahoma"/>
          <w:b/>
          <w:highlight w:val="yellow"/>
          <w:lang w:eastAsia="cs-CZ"/>
        </w:rPr>
        <w:fldChar w:fldCharType="begin"/>
      </w:r>
      <w:r w:rsidRPr="0027642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b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 xml:space="preserve">, IČO: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se sídlem</w:t>
      </w:r>
      <w:r w:rsidR="00B22DBC" w:rsidRPr="00276426">
        <w:rPr>
          <w:rFonts w:cs="Tahoma"/>
          <w:lang w:eastAsia="cs-CZ"/>
        </w:rPr>
        <w:t>:</w:t>
      </w:r>
      <w:r w:rsidRPr="00276426">
        <w:rPr>
          <w:rFonts w:cs="Tahoma"/>
          <w:lang w:eastAsia="cs-CZ"/>
        </w:rPr>
        <w:t xml:space="preserve">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PSČ 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="00580EC1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dodavatel</w:t>
      </w:r>
      <w:r w:rsidRPr="00276426">
        <w:rPr>
          <w:rFonts w:cs="Tahoma"/>
          <w:lang w:eastAsia="cs-CZ"/>
        </w:rPr>
        <w:t>“), jako účastník zadávacího řízení veřejné zakázky</w:t>
      </w:r>
      <w:r w:rsidR="00F06188" w:rsidRPr="00276426">
        <w:rPr>
          <w:rFonts w:cs="Tahoma"/>
          <w:lang w:eastAsia="cs-CZ"/>
        </w:rPr>
        <w:t xml:space="preserve"> s </w:t>
      </w:r>
      <w:r w:rsidRPr="00276426">
        <w:rPr>
          <w:rFonts w:cs="Tahoma"/>
          <w:lang w:eastAsia="cs-CZ"/>
        </w:rPr>
        <w:t xml:space="preserve">názvem </w:t>
      </w:r>
      <w:r w:rsidR="00757DF2" w:rsidRPr="00757DF2">
        <w:rPr>
          <w:rFonts w:cs="Tahoma"/>
          <w:b/>
          <w:szCs w:val="14"/>
          <w:lang w:bidi="en-US"/>
        </w:rPr>
        <w:t>Zastřešení atria objektu Bezručovo nám. 14, Opava – zhotovitel stavby</w:t>
      </w:r>
      <w:r w:rsidR="00F160B7" w:rsidRPr="00F160B7">
        <w:rPr>
          <w:rFonts w:cs="Tahoma"/>
          <w:lang w:eastAsia="cs-CZ"/>
        </w:rPr>
        <w:t>,</w:t>
      </w:r>
      <w:r w:rsidR="00F160B7" w:rsidRPr="00F160B7">
        <w:rPr>
          <w:rFonts w:cs="Tahoma"/>
          <w:b/>
          <w:bCs/>
          <w:lang w:eastAsia="cs-CZ"/>
        </w:rPr>
        <w:t xml:space="preserve"> </w:t>
      </w:r>
      <w:r w:rsidRPr="00276426">
        <w:rPr>
          <w:rFonts w:cs="Tahoma"/>
          <w:lang w:eastAsia="cs-CZ"/>
        </w:rPr>
        <w:t>tímto v souladu s</w:t>
      </w:r>
      <w:r w:rsidR="00B655E8">
        <w:rPr>
          <w:rFonts w:cs="Tahoma"/>
          <w:lang w:eastAsia="cs-CZ"/>
        </w:rPr>
        <w:t xml:space="preserve">e zněním odst. 22.11 dokumentace zadávacího řízení a zákonem </w:t>
      </w:r>
      <w:r w:rsidRPr="00276426">
        <w:rPr>
          <w:rFonts w:cs="Tahoma"/>
          <w:lang w:eastAsia="cs-CZ"/>
        </w:rPr>
        <w:t>č. 134/2016 Sb., o zadávání veřejných zakázek</w:t>
      </w:r>
      <w:r w:rsidR="001A524D" w:rsidRPr="00276426">
        <w:rPr>
          <w:rFonts w:cs="Tahoma"/>
        </w:rPr>
        <w:t>, ve znění pozdějších předpisů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zákon</w:t>
      </w:r>
      <w:r w:rsidRPr="00276426">
        <w:rPr>
          <w:rFonts w:cs="Tahoma"/>
          <w:lang w:eastAsia="cs-CZ"/>
        </w:rPr>
        <w:t>“)</w:t>
      </w:r>
      <w:r w:rsidR="001A524D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čestně prohlašuje, že sp</w:t>
      </w:r>
      <w:r w:rsidR="00180B8E" w:rsidRPr="00276426">
        <w:rPr>
          <w:rFonts w:cs="Tahoma"/>
          <w:lang w:eastAsia="cs-CZ"/>
        </w:rPr>
        <w:t xml:space="preserve">lňuje </w:t>
      </w:r>
      <w:r w:rsidR="00E529A4">
        <w:rPr>
          <w:rFonts w:cs="Tahoma"/>
          <w:lang w:eastAsia="cs-CZ"/>
        </w:rPr>
        <w:t>požadavky zadavatele</w:t>
      </w:r>
      <w:r w:rsidR="00E529A4" w:rsidRPr="00276426">
        <w:rPr>
          <w:rFonts w:cs="Tahoma"/>
          <w:lang w:eastAsia="cs-CZ"/>
        </w:rPr>
        <w:t xml:space="preserve"> </w:t>
      </w:r>
      <w:r w:rsidR="00B655E8">
        <w:rPr>
          <w:rFonts w:cs="Tahoma"/>
          <w:lang w:eastAsia="cs-CZ"/>
        </w:rPr>
        <w:t xml:space="preserve">na neexistenci překážek pro zadání veřejné zakázky a </w:t>
      </w:r>
      <w:r w:rsidR="00E529A4">
        <w:rPr>
          <w:rFonts w:cs="Tahoma"/>
          <w:lang w:eastAsia="cs-CZ"/>
        </w:rPr>
        <w:t>neexistenci střetu zájmů následovně:</w:t>
      </w:r>
      <w:r w:rsidR="00580EC1" w:rsidRPr="00276426">
        <w:rPr>
          <w:rFonts w:cs="Tahoma"/>
          <w:lang w:eastAsia="cs-CZ"/>
        </w:rPr>
        <w:t>.</w:t>
      </w:r>
    </w:p>
    <w:p w14:paraId="2F39F77B" w14:textId="77777777" w:rsidR="00DB723B" w:rsidRPr="00F5701A" w:rsidRDefault="00DB723B" w:rsidP="00DB723B">
      <w:pPr>
        <w:pStyle w:val="3seznam"/>
        <w:numPr>
          <w:ilvl w:val="2"/>
          <w:numId w:val="1"/>
        </w:numPr>
      </w:pPr>
      <w:r w:rsidRPr="00F5701A">
        <w:t xml:space="preserve">účastník </w:t>
      </w:r>
      <w:r>
        <w:t>zadávacího</w:t>
      </w:r>
      <w:r w:rsidRPr="00F5701A">
        <w:t xml:space="preserve"> řízení není v</w:t>
      </w:r>
      <w:r>
        <w:t xml:space="preserve"> zadávacím </w:t>
      </w:r>
      <w:r w:rsidRPr="00F5701A">
        <w:t xml:space="preserve">řízení ovlivněn přímo ani nepřímo střetem zájmů ve vztahu k zadavateli ani k subjektům podílejícím se na přípravě tohoto </w:t>
      </w:r>
      <w:r>
        <w:t>zadávacího</w:t>
      </w:r>
      <w:r w:rsidRPr="00F5701A">
        <w:t xml:space="preserve"> řízení, jakož i že nemá žádné zvláštní spojení s těmito osobami (např. majetkové, personální aj. obdobné);</w:t>
      </w:r>
    </w:p>
    <w:p w14:paraId="5DD7F788" w14:textId="77777777" w:rsidR="00DB723B" w:rsidRPr="00253856" w:rsidRDefault="00DB723B" w:rsidP="00DB723B">
      <w:pPr>
        <w:pStyle w:val="3seznam"/>
        <w:numPr>
          <w:ilvl w:val="2"/>
          <w:numId w:val="1"/>
        </w:numPr>
        <w:rPr>
          <w:rFonts w:cs="Tahoma"/>
        </w:rPr>
      </w:pPr>
      <w:r w:rsidRPr="007C58AC">
        <w:t>účastník není veřejným funkcionářem nebo obchodní společností, příp. jinou</w:t>
      </w:r>
      <w:r w:rsidRPr="00FC4418">
        <w:rPr>
          <w:rFonts w:cs="Tahoma"/>
          <w:color w:val="000000"/>
          <w:shd w:val="clear" w:color="auto" w:fill="FFFFFF"/>
        </w:rPr>
        <w:t xml:space="preserve"> obdobnou společností, ve které veřejný funkcionář uvedený v § 2 odst. 1 písm. c) zákona č. 159/2006 Sb., o střetu zájmů, ve znění pozdějších předpisů</w:t>
      </w:r>
      <w:r>
        <w:rPr>
          <w:rFonts w:cs="Tahoma"/>
          <w:color w:val="000000"/>
          <w:shd w:val="clear" w:color="auto" w:fill="FFFFFF"/>
        </w:rPr>
        <w:t xml:space="preserve"> </w:t>
      </w:r>
      <w:r w:rsidRPr="00736C22">
        <w:rPr>
          <w:rFonts w:cs="Tahoma"/>
          <w:color w:val="000000"/>
          <w:shd w:val="clear" w:color="auto" w:fill="FFFFFF"/>
        </w:rPr>
        <w:t>(tj. člen vlády nebo vedoucí jiného ústředního správního úřadu, v jehož čele není člen vlády)</w:t>
      </w:r>
      <w:r w:rsidRPr="00FC4418">
        <w:rPr>
          <w:rFonts w:cs="Tahoma"/>
          <w:color w:val="000000"/>
          <w:shd w:val="clear" w:color="auto" w:fill="FFFFFF"/>
        </w:rPr>
        <w:t xml:space="preserve">, nebo jím ovládaná osoba vlastní podíl představující alespoň 25 % účasti společníka v obchodní společnosti, a tudíž se smí účastnit zadávacích </w:t>
      </w:r>
      <w:r>
        <w:rPr>
          <w:rFonts w:cs="Tahoma"/>
          <w:color w:val="000000"/>
          <w:shd w:val="clear" w:color="auto" w:fill="FFFFFF"/>
        </w:rPr>
        <w:t xml:space="preserve">či výběrových </w:t>
      </w:r>
      <w:r w:rsidRPr="00FC4418">
        <w:rPr>
          <w:rFonts w:cs="Tahoma"/>
          <w:color w:val="000000"/>
          <w:shd w:val="clear" w:color="auto" w:fill="FFFFFF"/>
        </w:rPr>
        <w:t>řízení podle zákona upravujícího zadávání veřejných zakázek jako účastník nebo poddodavatel, prostřednictvím kterého dodavatel prokazuje kvalifikaci</w:t>
      </w:r>
      <w:r>
        <w:rPr>
          <w:rFonts w:cs="Tahoma"/>
          <w:color w:val="000000"/>
          <w:shd w:val="clear" w:color="auto" w:fill="FFFFFF"/>
        </w:rPr>
        <w:t>;</w:t>
      </w:r>
    </w:p>
    <w:p w14:paraId="4140120B" w14:textId="77777777" w:rsidR="00DB723B" w:rsidRPr="00FC4418" w:rsidRDefault="00DB723B" w:rsidP="00DB723B">
      <w:pPr>
        <w:pStyle w:val="3seznam"/>
        <w:numPr>
          <w:ilvl w:val="2"/>
          <w:numId w:val="1"/>
        </w:numPr>
        <w:rPr>
          <w:rFonts w:cs="Tahoma"/>
        </w:rPr>
      </w:pPr>
      <w:r w:rsidRPr="007C58AC">
        <w:t>poddodavatel, prostřednictvím kterého účastník prokazuje kvalifikaci (existuje-li</w:t>
      </w:r>
      <w:r w:rsidRPr="00253856">
        <w:rPr>
          <w:rFonts w:cs="Tahoma"/>
          <w:color w:val="000000"/>
          <w:shd w:val="clear" w:color="auto" w:fill="FFFFFF"/>
        </w:rPr>
        <w:t xml:space="preserve"> takový), </w:t>
      </w:r>
      <w:r w:rsidRPr="00253856">
        <w:rPr>
          <w:rFonts w:cs="Tahoma"/>
          <w:b/>
          <w:color w:val="000000"/>
          <w:shd w:val="clear" w:color="auto" w:fill="FFFFFF"/>
        </w:rPr>
        <w:t>není</w:t>
      </w:r>
      <w:r w:rsidRPr="00253856">
        <w:rPr>
          <w:rFonts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Fonts w:cs="Tahoma"/>
          <w:color w:val="000000"/>
          <w:shd w:val="clear" w:color="auto" w:fill="FFFFFF"/>
        </w:rPr>
        <w:t>;</w:t>
      </w:r>
      <w:r w:rsidRPr="00FC4418">
        <w:rPr>
          <w:rFonts w:cs="Tahoma"/>
          <w:color w:val="000000"/>
          <w:shd w:val="clear" w:color="auto" w:fill="FFFFFF"/>
        </w:rPr>
        <w:t xml:space="preserve"> </w:t>
      </w:r>
    </w:p>
    <w:p w14:paraId="52011094" w14:textId="77777777" w:rsidR="00DB723B" w:rsidRPr="00FC4418" w:rsidRDefault="00DB723B" w:rsidP="00DB723B">
      <w:pPr>
        <w:pStyle w:val="3seznam"/>
        <w:numPr>
          <w:ilvl w:val="2"/>
          <w:numId w:val="1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0DE5DCC7" w14:textId="77777777" w:rsidR="00DB723B" w:rsidRPr="00FC4418" w:rsidRDefault="00DB723B" w:rsidP="00DB723B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6537E0F" w14:textId="77777777" w:rsidR="00DB723B" w:rsidRPr="00FC4418" w:rsidRDefault="00DB723B" w:rsidP="00DB723B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0C17CF08" w14:textId="77777777" w:rsidR="00DB723B" w:rsidRPr="00FC4418" w:rsidRDefault="00DB723B" w:rsidP="00DB723B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lastRenderedPageBreak/>
        <w:t>nejedná jménem nebo na pokyn některého ze subjektů uvedených v bodu I. nebo II.;</w:t>
      </w:r>
    </w:p>
    <w:p w14:paraId="086E279F" w14:textId="77777777" w:rsidR="00DB723B" w:rsidRPr="00FC4418" w:rsidRDefault="00DB723B" w:rsidP="00DB723B">
      <w:pPr>
        <w:pStyle w:val="3seznam"/>
        <w:numPr>
          <w:ilvl w:val="2"/>
          <w:numId w:val="1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 xml:space="preserve">Účastník </w:t>
      </w:r>
      <w:r>
        <w:rPr>
          <w:rFonts w:cs="Tahoma"/>
          <w:iCs/>
          <w:color w:val="000000"/>
        </w:rPr>
        <w:t xml:space="preserve">ani žádný z jeho poddodavatelů </w:t>
      </w:r>
      <w:r w:rsidRPr="00FC4418">
        <w:rPr>
          <w:rFonts w:cs="Tahoma"/>
          <w:iCs/>
          <w:color w:val="000000"/>
        </w:rPr>
        <w:t xml:space="preserve">není </w:t>
      </w:r>
      <w:r>
        <w:rPr>
          <w:rFonts w:cs="Tahoma"/>
          <w:iCs/>
          <w:color w:val="000000"/>
        </w:rPr>
        <w:t xml:space="preserve">(i) </w:t>
      </w:r>
      <w:r w:rsidRPr="00FC4418">
        <w:rPr>
          <w:rFonts w:cs="Tahoma"/>
          <w:iCs/>
          <w:color w:val="000000"/>
        </w:rPr>
        <w:t xml:space="preserve">osobou uvedenou v sankčním </w:t>
      </w:r>
      <w:r w:rsidRPr="0054130F">
        <w:rPr>
          <w:rFonts w:cs="Tahoma"/>
          <w:iCs/>
          <w:color w:val="000000"/>
        </w:rPr>
        <w:t>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FC4418">
        <w:rPr>
          <w:rStyle w:val="Znakapoznpodarou"/>
          <w:rFonts w:cs="Tahoma"/>
          <w:iCs/>
          <w:color w:val="000000"/>
        </w:rPr>
        <w:footnoteReference w:id="1"/>
      </w:r>
      <w:r w:rsidRPr="00FC4418">
        <w:rPr>
          <w:rFonts w:cs="Tahoma"/>
          <w:iCs/>
          <w:color w:val="000000"/>
        </w:rPr>
        <w:t>;</w:t>
      </w:r>
    </w:p>
    <w:p w14:paraId="04F2BDB5" w14:textId="77777777" w:rsidR="00DB723B" w:rsidRDefault="00DB723B" w:rsidP="00DB723B">
      <w:pPr>
        <w:pStyle w:val="3seznam"/>
        <w:numPr>
          <w:ilvl w:val="2"/>
          <w:numId w:val="1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žádné finanční prostředky, které účastník obdrží za plnění veřejné zakázky, přímo ani nepřímo nezpřístupní fyzickým nebo právnickým osobám, subjektům či orgánům s nimi spojeným nebo v jejich prospěch uvedeným v sankčním seznamu v příloze nařízení Rady (EU) č. 269/2014 ze dne 17. března 2014, o omezujících opatřeních vzhledem k činnostem narušujícím nebo ohrožujícím územní celistvost, svrchovanost a nezávislost Ukrajiny (ve 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F646C0B" w14:textId="77777777" w:rsidR="00DB723B" w:rsidRDefault="00DB723B" w:rsidP="00DB723B">
      <w:pPr>
        <w:pStyle w:val="3seznam"/>
        <w:numPr>
          <w:ilvl w:val="2"/>
          <w:numId w:val="1"/>
        </w:numPr>
      </w:pPr>
      <w:r w:rsidRPr="00FE2785">
        <w:rPr>
          <w:rFonts w:cs="Tahoma"/>
          <w:iCs/>
          <w:color w:val="000000"/>
        </w:rPr>
        <w:t xml:space="preserve">Účastník není </w:t>
      </w:r>
      <w:r w:rsidRPr="00FE2785">
        <w:rPr>
          <w:rFonts w:cs="Tahoma"/>
        </w:rPr>
        <w:t xml:space="preserve">v rozporu s mezinárodními sankcemi podle zákona č. 69/2006, o provádění </w:t>
      </w:r>
      <w:r w:rsidRPr="00FE2785">
        <w:rPr>
          <w:rFonts w:cs="Tahoma"/>
          <w:iCs/>
          <w:color w:val="000000"/>
        </w:rPr>
        <w:t>mezinárodních</w:t>
      </w:r>
      <w:r w:rsidRPr="00FE2785">
        <w:rPr>
          <w:rFonts w:cs="Tahoma"/>
        </w:rPr>
        <w:t xml:space="preserve">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6E10" w14:textId="77777777" w:rsidR="00067093" w:rsidRDefault="00067093">
      <w:pPr>
        <w:spacing w:after="0" w:line="240" w:lineRule="auto"/>
      </w:pPr>
      <w:r>
        <w:separator/>
      </w:r>
    </w:p>
  </w:endnote>
  <w:endnote w:type="continuationSeparator" w:id="0">
    <w:p w14:paraId="398F9EF2" w14:textId="77777777" w:rsidR="00067093" w:rsidRDefault="0006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DEC4" w14:textId="77777777" w:rsidR="00067093" w:rsidRDefault="00067093">
      <w:pPr>
        <w:spacing w:after="0" w:line="240" w:lineRule="auto"/>
      </w:pPr>
      <w:r>
        <w:separator/>
      </w:r>
    </w:p>
  </w:footnote>
  <w:footnote w:type="continuationSeparator" w:id="0">
    <w:p w14:paraId="1F1CCA56" w14:textId="77777777" w:rsidR="00067093" w:rsidRDefault="00067093">
      <w:pPr>
        <w:spacing w:after="0" w:line="240" w:lineRule="auto"/>
      </w:pPr>
      <w:r>
        <w:continuationSeparator/>
      </w:r>
    </w:p>
  </w:footnote>
  <w:footnote w:id="1">
    <w:p w14:paraId="7A91D109" w14:textId="77777777" w:rsidR="00DB723B" w:rsidRPr="004E47BF" w:rsidRDefault="00DB723B" w:rsidP="00DB723B">
      <w:pPr>
        <w:pStyle w:val="Textpoznpodarou"/>
        <w:rPr>
          <w:rFonts w:ascii="Tahoma" w:hAnsi="Tahoma" w:cs="Tahoma"/>
        </w:rPr>
      </w:pPr>
      <w:r w:rsidRPr="004E47BF">
        <w:rPr>
          <w:rStyle w:val="Znakapoznpodarou"/>
          <w:rFonts w:ascii="Tahoma" w:hAnsi="Tahoma" w:cs="Tahoma"/>
        </w:rPr>
        <w:footnoteRef/>
      </w:r>
      <w:r w:rsidRPr="004E47BF">
        <w:rPr>
          <w:rFonts w:ascii="Tahoma" w:hAnsi="Tahoma" w:cs="Tahoma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E47BF">
          <w:rPr>
            <w:rStyle w:val="Hypertextovodkaz"/>
            <w:rFonts w:ascii="Tahoma" w:hAnsi="Tahoma" w:cs="Tahoma"/>
          </w:rPr>
          <w:t>https://www.financnianalytickyurad.cz/blog/zarazeni-dalsich-osob-na-sankcni-seznam-proti-rusku</w:t>
        </w:r>
      </w:hyperlink>
      <w:r w:rsidRPr="004E47BF">
        <w:rPr>
          <w:rFonts w:ascii="Tahoma" w:hAnsi="Tahoma" w:cs="Tahoma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D98ED06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1D3F"/>
    <w:multiLevelType w:val="hybridMultilevel"/>
    <w:tmpl w:val="1B48138E"/>
    <w:lvl w:ilvl="0" w:tplc="884E7B84">
      <w:start w:val="1"/>
      <w:numFmt w:val="upperRoman"/>
      <w:lvlText w:val="%1."/>
      <w:lvlJc w:val="left"/>
      <w:pPr>
        <w:ind w:left="306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6" w:hanging="360"/>
      </w:pPr>
    </w:lvl>
    <w:lvl w:ilvl="2" w:tplc="0405001B" w:tentative="1">
      <w:start w:val="1"/>
      <w:numFmt w:val="lowerRoman"/>
      <w:lvlText w:val="%3."/>
      <w:lvlJc w:val="right"/>
      <w:pPr>
        <w:ind w:left="4146" w:hanging="180"/>
      </w:pPr>
    </w:lvl>
    <w:lvl w:ilvl="3" w:tplc="0405000F" w:tentative="1">
      <w:start w:val="1"/>
      <w:numFmt w:val="decimal"/>
      <w:lvlText w:val="%4."/>
      <w:lvlJc w:val="left"/>
      <w:pPr>
        <w:ind w:left="4866" w:hanging="360"/>
      </w:pPr>
    </w:lvl>
    <w:lvl w:ilvl="4" w:tplc="04050019" w:tentative="1">
      <w:start w:val="1"/>
      <w:numFmt w:val="lowerLetter"/>
      <w:lvlText w:val="%5."/>
      <w:lvlJc w:val="left"/>
      <w:pPr>
        <w:ind w:left="5586" w:hanging="360"/>
      </w:pPr>
    </w:lvl>
    <w:lvl w:ilvl="5" w:tplc="0405001B" w:tentative="1">
      <w:start w:val="1"/>
      <w:numFmt w:val="lowerRoman"/>
      <w:lvlText w:val="%6."/>
      <w:lvlJc w:val="right"/>
      <w:pPr>
        <w:ind w:left="6306" w:hanging="180"/>
      </w:pPr>
    </w:lvl>
    <w:lvl w:ilvl="6" w:tplc="0405000F" w:tentative="1">
      <w:start w:val="1"/>
      <w:numFmt w:val="decimal"/>
      <w:lvlText w:val="%7."/>
      <w:lvlJc w:val="left"/>
      <w:pPr>
        <w:ind w:left="7026" w:hanging="360"/>
      </w:pPr>
    </w:lvl>
    <w:lvl w:ilvl="7" w:tplc="04050019" w:tentative="1">
      <w:start w:val="1"/>
      <w:numFmt w:val="lowerLetter"/>
      <w:lvlText w:val="%8."/>
      <w:lvlJc w:val="left"/>
      <w:pPr>
        <w:ind w:left="7746" w:hanging="360"/>
      </w:pPr>
    </w:lvl>
    <w:lvl w:ilvl="8" w:tplc="0405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5" w15:restartNumberingAfterBreak="0">
    <w:nsid w:val="53FD564C"/>
    <w:multiLevelType w:val="hybridMultilevel"/>
    <w:tmpl w:val="FFB80108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6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5"/>
  </w:num>
  <w:num w:numId="21" w16cid:durableId="1578394026">
    <w:abstractNumId w:val="0"/>
  </w:num>
  <w:num w:numId="22" w16cid:durableId="1859613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74AD"/>
    <w:rsid w:val="00026CB4"/>
    <w:rsid w:val="00032137"/>
    <w:rsid w:val="00045107"/>
    <w:rsid w:val="00056FB8"/>
    <w:rsid w:val="000617EE"/>
    <w:rsid w:val="00067093"/>
    <w:rsid w:val="00092E34"/>
    <w:rsid w:val="000A3F30"/>
    <w:rsid w:val="000D70F6"/>
    <w:rsid w:val="000E0E5F"/>
    <w:rsid w:val="000F01FD"/>
    <w:rsid w:val="00130323"/>
    <w:rsid w:val="0014745E"/>
    <w:rsid w:val="00166F3C"/>
    <w:rsid w:val="001749E7"/>
    <w:rsid w:val="00180B8E"/>
    <w:rsid w:val="00183A6F"/>
    <w:rsid w:val="00187880"/>
    <w:rsid w:val="0019138C"/>
    <w:rsid w:val="001A524D"/>
    <w:rsid w:val="001B3249"/>
    <w:rsid w:val="001D25A3"/>
    <w:rsid w:val="00237110"/>
    <w:rsid w:val="002479D1"/>
    <w:rsid w:val="002512C7"/>
    <w:rsid w:val="00276426"/>
    <w:rsid w:val="00286707"/>
    <w:rsid w:val="00287B22"/>
    <w:rsid w:val="002E5628"/>
    <w:rsid w:val="002F43A1"/>
    <w:rsid w:val="003008C8"/>
    <w:rsid w:val="00307A0C"/>
    <w:rsid w:val="00313013"/>
    <w:rsid w:val="00335412"/>
    <w:rsid w:val="00344F91"/>
    <w:rsid w:val="00375DF5"/>
    <w:rsid w:val="00391B81"/>
    <w:rsid w:val="003B3236"/>
    <w:rsid w:val="003F11B7"/>
    <w:rsid w:val="003F1A44"/>
    <w:rsid w:val="00417473"/>
    <w:rsid w:val="004D2ED5"/>
    <w:rsid w:val="00503056"/>
    <w:rsid w:val="00512C16"/>
    <w:rsid w:val="0052236B"/>
    <w:rsid w:val="00547B61"/>
    <w:rsid w:val="00571956"/>
    <w:rsid w:val="00575AAD"/>
    <w:rsid w:val="00576B69"/>
    <w:rsid w:val="00580EC1"/>
    <w:rsid w:val="005B4477"/>
    <w:rsid w:val="005D0C54"/>
    <w:rsid w:val="005E0C78"/>
    <w:rsid w:val="005E1AA4"/>
    <w:rsid w:val="005E3BCE"/>
    <w:rsid w:val="00606176"/>
    <w:rsid w:val="006321EB"/>
    <w:rsid w:val="00665501"/>
    <w:rsid w:val="00681C88"/>
    <w:rsid w:val="0069317B"/>
    <w:rsid w:val="006B0C5A"/>
    <w:rsid w:val="006D1E07"/>
    <w:rsid w:val="006E254E"/>
    <w:rsid w:val="006E7D45"/>
    <w:rsid w:val="00716E7E"/>
    <w:rsid w:val="007263A9"/>
    <w:rsid w:val="0074659A"/>
    <w:rsid w:val="0075609D"/>
    <w:rsid w:val="00757DF2"/>
    <w:rsid w:val="00774F2F"/>
    <w:rsid w:val="007976C5"/>
    <w:rsid w:val="007B4B32"/>
    <w:rsid w:val="007E5479"/>
    <w:rsid w:val="007F1DE9"/>
    <w:rsid w:val="007F48EA"/>
    <w:rsid w:val="007F7544"/>
    <w:rsid w:val="008046A7"/>
    <w:rsid w:val="0082042E"/>
    <w:rsid w:val="0085323B"/>
    <w:rsid w:val="00865DBA"/>
    <w:rsid w:val="00891C3B"/>
    <w:rsid w:val="008C0406"/>
    <w:rsid w:val="008D402F"/>
    <w:rsid w:val="008F0BCA"/>
    <w:rsid w:val="00910600"/>
    <w:rsid w:val="00973BC8"/>
    <w:rsid w:val="00981FB7"/>
    <w:rsid w:val="00991DEA"/>
    <w:rsid w:val="009A2074"/>
    <w:rsid w:val="009B0F38"/>
    <w:rsid w:val="009B688D"/>
    <w:rsid w:val="009D0B62"/>
    <w:rsid w:val="009E2C37"/>
    <w:rsid w:val="009F3799"/>
    <w:rsid w:val="00A0033C"/>
    <w:rsid w:val="00A0770E"/>
    <w:rsid w:val="00A1611C"/>
    <w:rsid w:val="00A32735"/>
    <w:rsid w:val="00A421FF"/>
    <w:rsid w:val="00A43CE9"/>
    <w:rsid w:val="00A44748"/>
    <w:rsid w:val="00A51817"/>
    <w:rsid w:val="00A66478"/>
    <w:rsid w:val="00A7232D"/>
    <w:rsid w:val="00A723D1"/>
    <w:rsid w:val="00A83D2F"/>
    <w:rsid w:val="00A9669D"/>
    <w:rsid w:val="00AD06ED"/>
    <w:rsid w:val="00AE250C"/>
    <w:rsid w:val="00AE4ECF"/>
    <w:rsid w:val="00AF7559"/>
    <w:rsid w:val="00B11F2D"/>
    <w:rsid w:val="00B22DBC"/>
    <w:rsid w:val="00B34BA6"/>
    <w:rsid w:val="00B45CF5"/>
    <w:rsid w:val="00B61475"/>
    <w:rsid w:val="00B655E8"/>
    <w:rsid w:val="00B935D1"/>
    <w:rsid w:val="00BA2ADE"/>
    <w:rsid w:val="00BA4DAE"/>
    <w:rsid w:val="00BA7D3F"/>
    <w:rsid w:val="00BB024C"/>
    <w:rsid w:val="00BC6402"/>
    <w:rsid w:val="00BD6978"/>
    <w:rsid w:val="00C01084"/>
    <w:rsid w:val="00C4391E"/>
    <w:rsid w:val="00C52DAF"/>
    <w:rsid w:val="00C6348F"/>
    <w:rsid w:val="00C66A69"/>
    <w:rsid w:val="00C7543A"/>
    <w:rsid w:val="00C90DD5"/>
    <w:rsid w:val="00C96FC6"/>
    <w:rsid w:val="00C97A74"/>
    <w:rsid w:val="00CA4656"/>
    <w:rsid w:val="00CA6300"/>
    <w:rsid w:val="00D045F7"/>
    <w:rsid w:val="00D1329D"/>
    <w:rsid w:val="00D22BDB"/>
    <w:rsid w:val="00D256A9"/>
    <w:rsid w:val="00D35BE4"/>
    <w:rsid w:val="00D37886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2B6E"/>
    <w:rsid w:val="00DB723B"/>
    <w:rsid w:val="00DD62D8"/>
    <w:rsid w:val="00E315EF"/>
    <w:rsid w:val="00E33225"/>
    <w:rsid w:val="00E529A4"/>
    <w:rsid w:val="00E64FE0"/>
    <w:rsid w:val="00E827CD"/>
    <w:rsid w:val="00E85837"/>
    <w:rsid w:val="00EA4E95"/>
    <w:rsid w:val="00EB3348"/>
    <w:rsid w:val="00EC5B0E"/>
    <w:rsid w:val="00ED5669"/>
    <w:rsid w:val="00EF01F5"/>
    <w:rsid w:val="00F06188"/>
    <w:rsid w:val="00F0707B"/>
    <w:rsid w:val="00F07E4E"/>
    <w:rsid w:val="00F160B7"/>
    <w:rsid w:val="00F30A16"/>
    <w:rsid w:val="00F55144"/>
    <w:rsid w:val="00F63E49"/>
    <w:rsid w:val="00F6612A"/>
    <w:rsid w:val="00F82FEC"/>
    <w:rsid w:val="00F9517F"/>
    <w:rsid w:val="00FD7D84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8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421FF"/>
    <w:pPr>
      <w:spacing w:after="0" w:line="240" w:lineRule="auto"/>
    </w:pPr>
  </w:style>
  <w:style w:type="character" w:styleId="Hypertextovodkaz">
    <w:name w:val="Hyperlink"/>
    <w:uiPriority w:val="99"/>
    <w:rsid w:val="00DB723B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qFormat/>
    <w:rsid w:val="00DB723B"/>
    <w:pPr>
      <w:spacing w:after="0" w:line="240" w:lineRule="auto"/>
      <w:jc w:val="both"/>
    </w:pPr>
    <w:rPr>
      <w:rFonts w:ascii="Calibri" w:eastAsia="Times New Roman" w:hAnsi="Calibri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B723B"/>
    <w:rPr>
      <w:rFonts w:ascii="Calibri" w:eastAsia="Times New Roman" w:hAnsi="Calibri" w:cs="Times New Roman"/>
      <w:sz w:val="18"/>
      <w:szCs w:val="20"/>
      <w:lang w:eastAsia="cs-CZ"/>
    </w:rPr>
  </w:style>
  <w:style w:type="character" w:styleId="Znakapoznpodarou">
    <w:name w:val="footnote reference"/>
    <w:uiPriority w:val="99"/>
    <w:rsid w:val="00DB723B"/>
    <w:rPr>
      <w:vertAlign w:val="superscript"/>
    </w:rPr>
  </w:style>
  <w:style w:type="paragraph" w:customStyle="1" w:styleId="podpisra">
    <w:name w:val="podpis čára"/>
    <w:basedOn w:val="Normln"/>
    <w:rsid w:val="00DB723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2026-03-03T00:58:00Z</dcterms:created>
  <dcterms:modified xsi:type="dcterms:W3CDTF">2026-03-03T01:32:00Z</dcterms:modified>
</cp:coreProperties>
</file>