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004C" w14:textId="1D86D5E7" w:rsidR="00B80447" w:rsidRPr="00E268DA" w:rsidRDefault="00B80447" w:rsidP="2CC788E0">
      <w:pPr>
        <w:spacing w:before="100" w:beforeAutospacing="1" w:after="100" w:afterAutospacing="1" w:line="240" w:lineRule="auto"/>
        <w:jc w:val="both"/>
        <w:outlineLvl w:val="0"/>
        <w:rPr>
          <w:rFonts w:eastAsia="Times New Roman"/>
          <w:b/>
          <w:bCs/>
          <w:kern w:val="36"/>
          <w:lang w:val="en-GB" w:eastAsia="cs-CZ"/>
          <w14:ligatures w14:val="none"/>
        </w:rPr>
      </w:pPr>
    </w:p>
    <w:p w14:paraId="499F4F69" w14:textId="28C72EE6" w:rsidR="00B80447" w:rsidRPr="00E268DA" w:rsidRDefault="007F1684" w:rsidP="2CC788E0">
      <w:pPr>
        <w:spacing w:before="100" w:beforeAutospacing="1" w:after="100" w:afterAutospacing="1" w:line="240" w:lineRule="auto"/>
        <w:jc w:val="both"/>
        <w:outlineLvl w:val="0"/>
        <w:rPr>
          <w:rFonts w:eastAsia="Times New Roman"/>
          <w:kern w:val="36"/>
          <w:lang w:val="en-GB" w:eastAsia="cs-CZ"/>
          <w14:ligatures w14:val="none"/>
        </w:rPr>
      </w:pPr>
      <w:r w:rsidRPr="00E268DA">
        <w:rPr>
          <w:rFonts w:eastAsia="Times New Roman"/>
          <w:kern w:val="36"/>
          <w:lang w:val="en-GB" w:eastAsia="cs-CZ"/>
          <w14:ligatures w14:val="none"/>
        </w:rPr>
        <w:t>A</w:t>
      </w:r>
      <w:r w:rsidR="00894625" w:rsidRPr="00E268DA">
        <w:rPr>
          <w:rFonts w:eastAsia="Times New Roman"/>
          <w:kern w:val="36"/>
          <w:lang w:val="en-GB" w:eastAsia="cs-CZ"/>
          <w14:ligatures w14:val="none"/>
        </w:rPr>
        <w:t>nnex</w:t>
      </w:r>
      <w:r w:rsidRPr="00E268DA">
        <w:rPr>
          <w:rFonts w:eastAsia="Times New Roman"/>
          <w:kern w:val="36"/>
          <w:lang w:val="en-GB" w:eastAsia="cs-CZ"/>
          <w14:ligatures w14:val="none"/>
        </w:rPr>
        <w:t xml:space="preserve"> No. 1 </w:t>
      </w:r>
    </w:p>
    <w:p w14:paraId="5F4B2FCA" w14:textId="7DEC2928" w:rsidR="007F1684" w:rsidRPr="002F759E" w:rsidRDefault="00B80447" w:rsidP="2CC788E0">
      <w:pPr>
        <w:spacing w:before="100" w:beforeAutospacing="1" w:after="100" w:afterAutospacing="1" w:line="240" w:lineRule="auto"/>
        <w:jc w:val="both"/>
        <w:outlineLvl w:val="0"/>
        <w:rPr>
          <w:rFonts w:eastAsia="Times New Roman"/>
          <w:color w:val="FF0000"/>
          <w:kern w:val="36"/>
          <w:lang w:val="en-GB" w:eastAsia="cs-CZ"/>
          <w14:ligatures w14:val="none"/>
        </w:rPr>
      </w:pPr>
      <w:r w:rsidRPr="002F759E">
        <w:rPr>
          <w:rFonts w:eastAsia="Times New Roman"/>
          <w:color w:val="FF0000"/>
          <w:kern w:val="36"/>
          <w:lang w:val="en-GB" w:eastAsia="cs-CZ"/>
          <w14:ligatures w14:val="none"/>
        </w:rPr>
        <w:t>Contracting authority's note: It will be an annex to the contract</w:t>
      </w:r>
    </w:p>
    <w:p w14:paraId="1BA7C8CA" w14:textId="249FD91F" w:rsidR="00FE34FE" w:rsidRPr="00E268DA" w:rsidRDefault="00FE34FE" w:rsidP="2CC788E0">
      <w:pPr>
        <w:spacing w:before="100" w:beforeAutospacing="1" w:after="100" w:afterAutospacing="1" w:line="240" w:lineRule="auto"/>
        <w:jc w:val="both"/>
        <w:outlineLvl w:val="0"/>
        <w:rPr>
          <w:rFonts w:eastAsia="Times New Roman"/>
          <w:b/>
          <w:bCs/>
          <w:kern w:val="36"/>
          <w:sz w:val="48"/>
          <w:szCs w:val="48"/>
          <w:lang w:val="en-GB" w:eastAsia="cs-CZ"/>
          <w14:ligatures w14:val="none"/>
        </w:rPr>
      </w:pPr>
      <w:r w:rsidRPr="00E268DA">
        <w:rPr>
          <w:rFonts w:eastAsia="Times New Roman"/>
          <w:b/>
          <w:bCs/>
          <w:kern w:val="36"/>
          <w:sz w:val="48"/>
          <w:szCs w:val="48"/>
          <w:lang w:val="en-GB" w:eastAsia="cs-CZ"/>
          <w14:ligatures w14:val="none"/>
        </w:rPr>
        <w:t xml:space="preserve">Technical specification of the public contract for the acquisition of a service </w:t>
      </w:r>
      <w:r w:rsidR="005424F3" w:rsidRPr="00E268DA">
        <w:rPr>
          <w:rFonts w:eastAsia="Times New Roman"/>
          <w:b/>
          <w:bCs/>
          <w:kern w:val="36"/>
          <w:sz w:val="48"/>
          <w:szCs w:val="48"/>
          <w:lang w:val="en-GB" w:eastAsia="cs-CZ"/>
          <w14:ligatures w14:val="none"/>
        </w:rPr>
        <w:t xml:space="preserve">to </w:t>
      </w:r>
      <w:r w:rsidRPr="00E268DA">
        <w:rPr>
          <w:rFonts w:eastAsia="Times New Roman"/>
          <w:b/>
          <w:bCs/>
          <w:kern w:val="36"/>
          <w:sz w:val="48"/>
          <w:szCs w:val="48"/>
          <w:lang w:val="en-GB" w:eastAsia="cs-CZ"/>
          <w14:ligatures w14:val="none"/>
        </w:rPr>
        <w:t xml:space="preserve">support open science and research </w:t>
      </w:r>
      <w:r w:rsidR="005424F3" w:rsidRPr="00E268DA">
        <w:rPr>
          <w:rFonts w:eastAsia="Times New Roman"/>
          <w:b/>
          <w:bCs/>
          <w:kern w:val="36"/>
          <w:sz w:val="48"/>
          <w:szCs w:val="48"/>
          <w:lang w:val="en-GB" w:eastAsia="cs-CZ"/>
          <w14:ligatures w14:val="none"/>
        </w:rPr>
        <w:t xml:space="preserve">for the </w:t>
      </w:r>
      <w:r w:rsidR="61E9B87B" w:rsidRPr="00E268DA">
        <w:rPr>
          <w:rFonts w:eastAsia="Times New Roman"/>
          <w:b/>
          <w:bCs/>
          <w:sz w:val="48"/>
          <w:szCs w:val="48"/>
          <w:lang w:val="en-GB" w:eastAsia="cs-CZ"/>
        </w:rPr>
        <w:t>STARS EU</w:t>
      </w:r>
      <w:r w:rsidR="006B5E45" w:rsidRPr="00E268DA">
        <w:rPr>
          <w:rFonts w:eastAsia="Times New Roman"/>
          <w:b/>
          <w:bCs/>
          <w:sz w:val="48"/>
          <w:szCs w:val="48"/>
          <w:lang w:val="en-GB" w:eastAsia="cs-CZ"/>
        </w:rPr>
        <w:t xml:space="preserve"> university alliance</w:t>
      </w:r>
    </w:p>
    <w:p w14:paraId="0ECEB04C" w14:textId="77777777" w:rsidR="00FE34FE" w:rsidRPr="00E268DA" w:rsidRDefault="00FE34FE" w:rsidP="00FE34FE">
      <w:pPr>
        <w:spacing w:before="100" w:beforeAutospacing="1" w:after="100" w:afterAutospacing="1" w:line="240" w:lineRule="auto"/>
        <w:jc w:val="both"/>
        <w:outlineLvl w:val="1"/>
        <w:rPr>
          <w:rFonts w:eastAsia="Times New Roman" w:cstheme="minorHAnsi"/>
          <w:b/>
          <w:bCs/>
          <w:kern w:val="0"/>
          <w:sz w:val="36"/>
          <w:szCs w:val="36"/>
          <w:lang w:val="en-GB" w:eastAsia="cs-CZ"/>
          <w14:ligatures w14:val="none"/>
        </w:rPr>
      </w:pPr>
      <w:r w:rsidRPr="00E268DA">
        <w:rPr>
          <w:rFonts w:eastAsia="Times New Roman" w:cstheme="minorHAnsi"/>
          <w:b/>
          <w:bCs/>
          <w:kern w:val="0"/>
          <w:sz w:val="36"/>
          <w:szCs w:val="36"/>
          <w:lang w:val="en-GB" w:eastAsia="cs-CZ"/>
          <w14:ligatures w14:val="none"/>
        </w:rPr>
        <w:t>1. Subject-matter of the contract</w:t>
      </w:r>
    </w:p>
    <w:p w14:paraId="2A4E0EF4" w14:textId="7B29C1D0" w:rsidR="00FE34FE" w:rsidRPr="00E268DA" w:rsidRDefault="00FE34FE" w:rsidP="00FE34FE">
      <w:pPr>
        <w:spacing w:before="100" w:beforeAutospacing="1" w:after="100" w:afterAutospacing="1" w:line="240" w:lineRule="auto"/>
        <w:jc w:val="both"/>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The subject of the public contract is the acquisition of digital infrastructure provided as a service that will be used to visibility, share and monitor research results in accordance with the principles of open science. The service will be provided in the form of an access package, which will include two main components:</w:t>
      </w:r>
    </w:p>
    <w:p w14:paraId="0FA07B17" w14:textId="1A37F4B0" w:rsidR="00FE34FE" w:rsidRPr="00E268DA" w:rsidRDefault="00FE34FE" w:rsidP="00FE34FE">
      <w:pPr>
        <w:numPr>
          <w:ilvl w:val="0"/>
          <w:numId w:val="7"/>
        </w:numPr>
        <w:spacing w:before="100" w:beforeAutospacing="1" w:after="100" w:afterAutospacing="1" w:line="240" w:lineRule="auto"/>
        <w:jc w:val="both"/>
        <w:rPr>
          <w:rFonts w:eastAsia="Times New Roman" w:cstheme="minorHAnsi"/>
          <w:kern w:val="0"/>
          <w:sz w:val="24"/>
          <w:szCs w:val="24"/>
          <w:lang w:val="en-GB" w:eastAsia="cs-CZ"/>
          <w14:ligatures w14:val="none"/>
        </w:rPr>
      </w:pPr>
      <w:r w:rsidRPr="00E268DA">
        <w:rPr>
          <w:rFonts w:eastAsia="Times New Roman" w:cstheme="minorHAnsi"/>
          <w:b/>
          <w:bCs/>
          <w:kern w:val="0"/>
          <w:sz w:val="24"/>
          <w:szCs w:val="24"/>
          <w:lang w:val="en-GB" w:eastAsia="cs-CZ"/>
          <w14:ligatures w14:val="none"/>
        </w:rPr>
        <w:t>Portal for the presentation of research outputs</w:t>
      </w:r>
    </w:p>
    <w:p w14:paraId="1A9EC9AB" w14:textId="1636DCE7" w:rsidR="00FE34FE" w:rsidRPr="00E268DA" w:rsidRDefault="00FE34FE" w:rsidP="00FE34FE">
      <w:pPr>
        <w:numPr>
          <w:ilvl w:val="0"/>
          <w:numId w:val="7"/>
        </w:numPr>
        <w:spacing w:before="100" w:beforeAutospacing="1" w:after="100" w:afterAutospacing="1" w:line="240" w:lineRule="auto"/>
        <w:jc w:val="both"/>
        <w:rPr>
          <w:rFonts w:eastAsia="Times New Roman" w:cstheme="minorHAnsi"/>
          <w:kern w:val="0"/>
          <w:sz w:val="24"/>
          <w:szCs w:val="24"/>
          <w:lang w:val="en-GB" w:eastAsia="cs-CZ"/>
          <w14:ligatures w14:val="none"/>
        </w:rPr>
      </w:pPr>
      <w:r w:rsidRPr="00E268DA">
        <w:rPr>
          <w:rFonts w:eastAsia="Times New Roman" w:cstheme="minorHAnsi"/>
          <w:b/>
          <w:bCs/>
          <w:kern w:val="0"/>
          <w:sz w:val="24"/>
          <w:szCs w:val="24"/>
          <w:lang w:val="en-GB" w:eastAsia="cs-CZ"/>
          <w14:ligatures w14:val="none"/>
        </w:rPr>
        <w:t>Monitoring tool for analysis of research data and outputs</w:t>
      </w:r>
      <w:r w:rsidR="00EB015A" w:rsidRPr="00E268DA">
        <w:rPr>
          <w:rFonts w:eastAsia="Times New Roman" w:cstheme="minorHAnsi"/>
          <w:b/>
          <w:bCs/>
          <w:kern w:val="0"/>
          <w:sz w:val="24"/>
          <w:szCs w:val="24"/>
          <w:lang w:val="en-GB" w:eastAsia="cs-CZ"/>
          <w14:ligatures w14:val="none"/>
        </w:rPr>
        <w:t xml:space="preserve"> </w:t>
      </w:r>
      <w:r w:rsidR="008B5453" w:rsidRPr="00E268DA">
        <w:rPr>
          <w:rFonts w:eastAsia="Times New Roman" w:cstheme="minorHAnsi"/>
          <w:b/>
          <w:bCs/>
          <w:kern w:val="0"/>
          <w:sz w:val="24"/>
          <w:szCs w:val="24"/>
          <w:lang w:val="en-GB" w:eastAsia="cs-CZ"/>
          <w14:ligatures w14:val="none"/>
        </w:rPr>
        <w:t>(Monitor Dashboard)</w:t>
      </w:r>
    </w:p>
    <w:p w14:paraId="449A4767" w14:textId="6A9FA259" w:rsidR="00FE34FE" w:rsidRPr="00E268DA" w:rsidRDefault="00FE34FE" w:rsidP="00E268DA">
      <w:pPr>
        <w:spacing w:before="100" w:beforeAutospacing="1" w:after="100" w:afterAutospacing="1" w:line="240" w:lineRule="auto"/>
        <w:jc w:val="both"/>
        <w:rPr>
          <w:rFonts w:eastAsia="Times New Roman" w:cstheme="minorHAnsi"/>
          <w:kern w:val="0"/>
          <w:sz w:val="24"/>
          <w:szCs w:val="24"/>
          <w:lang w:val="en-GB" w:eastAsia="cs-CZ"/>
          <w14:ligatures w14:val="none"/>
        </w:rPr>
      </w:pPr>
      <w:r w:rsidRPr="00E268DA">
        <w:rPr>
          <w:rFonts w:eastAsia="Times New Roman"/>
          <w:kern w:val="0"/>
          <w:sz w:val="24"/>
          <w:szCs w:val="24"/>
          <w:lang w:val="en-GB" w:eastAsia="cs-CZ"/>
          <w14:ligatures w14:val="none"/>
        </w:rPr>
        <w:t xml:space="preserve">The service will be available to </w:t>
      </w:r>
      <w:r w:rsidRPr="00E268DA">
        <w:rPr>
          <w:rFonts w:eastAsia="Times New Roman"/>
          <w:b/>
          <w:bCs/>
          <w:kern w:val="0"/>
          <w:sz w:val="24"/>
          <w:szCs w:val="24"/>
          <w:lang w:val="en-GB" w:eastAsia="cs-CZ"/>
          <w14:ligatures w14:val="none"/>
        </w:rPr>
        <w:t xml:space="preserve">all </w:t>
      </w:r>
      <w:r w:rsidR="003D1BB8" w:rsidRPr="00E268DA">
        <w:rPr>
          <w:rFonts w:eastAsia="Times New Roman"/>
          <w:b/>
          <w:bCs/>
          <w:kern w:val="0"/>
          <w:sz w:val="24"/>
          <w:szCs w:val="24"/>
          <w:lang w:val="en-GB" w:eastAsia="cs-CZ"/>
          <w14:ligatures w14:val="none"/>
        </w:rPr>
        <w:t xml:space="preserve">9 </w:t>
      </w:r>
      <w:r w:rsidRPr="00E268DA">
        <w:rPr>
          <w:rFonts w:eastAsia="Times New Roman"/>
          <w:b/>
          <w:bCs/>
          <w:kern w:val="0"/>
          <w:sz w:val="24"/>
          <w:szCs w:val="24"/>
          <w:lang w:val="en-GB" w:eastAsia="cs-CZ"/>
          <w14:ligatures w14:val="none"/>
        </w:rPr>
        <w:t>members of the STARS EU university alliance</w:t>
      </w:r>
      <w:r w:rsidRPr="00E268DA">
        <w:rPr>
          <w:rFonts w:eastAsia="Times New Roman"/>
          <w:kern w:val="0"/>
          <w:sz w:val="24"/>
          <w:szCs w:val="24"/>
          <w:lang w:val="en-GB" w:eastAsia="cs-CZ"/>
          <w14:ligatures w14:val="none"/>
        </w:rPr>
        <w:t xml:space="preserve"> </w:t>
      </w:r>
      <w:r w:rsidR="006374CB" w:rsidRPr="00E268DA">
        <w:rPr>
          <w:rFonts w:eastAsia="Times New Roman"/>
          <w:kern w:val="0"/>
          <w:sz w:val="24"/>
          <w:szCs w:val="24"/>
          <w:lang w:val="en-GB" w:eastAsia="cs-CZ"/>
          <w14:ligatures w14:val="none"/>
        </w:rPr>
        <w:t>(</w:t>
      </w:r>
      <w:hyperlink r:id="rId11" w:history="1">
        <w:r w:rsidR="00DF4FF5" w:rsidRPr="005041AC">
          <w:rPr>
            <w:rStyle w:val="Hypertextovodkaz"/>
            <w:rFonts w:eastAsia="Times New Roman"/>
            <w:kern w:val="0"/>
            <w:sz w:val="24"/>
            <w:szCs w:val="24"/>
            <w:lang w:val="en-GB" w:eastAsia="cs-CZ"/>
            <w14:ligatures w14:val="none"/>
          </w:rPr>
          <w:t>https://starseu.org/</w:t>
        </w:r>
      </w:hyperlink>
      <w:r w:rsidR="006374CB" w:rsidRPr="00E268DA">
        <w:rPr>
          <w:rFonts w:eastAsia="Times New Roman"/>
          <w:kern w:val="0"/>
          <w:sz w:val="24"/>
          <w:szCs w:val="24"/>
          <w:lang w:val="en-GB" w:eastAsia="cs-CZ"/>
          <w14:ligatures w14:val="none"/>
        </w:rPr>
        <w:t xml:space="preserve">) </w:t>
      </w:r>
      <w:r w:rsidRPr="00E268DA">
        <w:rPr>
          <w:rFonts w:eastAsia="Times New Roman"/>
          <w:kern w:val="0"/>
          <w:sz w:val="24"/>
          <w:szCs w:val="24"/>
          <w:lang w:val="en-GB" w:eastAsia="cs-CZ"/>
          <w14:ligatures w14:val="none"/>
        </w:rPr>
        <w:t xml:space="preserve">and will be provided for a period of approximately </w:t>
      </w:r>
      <w:r w:rsidR="00E05E17" w:rsidRPr="007150EC">
        <w:rPr>
          <w:rFonts w:eastAsia="Times New Roman"/>
          <w:b/>
          <w:bCs/>
          <w:kern w:val="0"/>
          <w:sz w:val="24"/>
          <w:szCs w:val="24"/>
          <w:lang w:val="en-GB" w:eastAsia="cs-CZ"/>
          <w14:ligatures w14:val="none"/>
        </w:rPr>
        <w:t>2</w:t>
      </w:r>
      <w:r w:rsidR="00B15CA0" w:rsidRPr="007150EC">
        <w:rPr>
          <w:rFonts w:eastAsia="Times New Roman"/>
          <w:b/>
          <w:bCs/>
          <w:kern w:val="0"/>
          <w:sz w:val="24"/>
          <w:szCs w:val="24"/>
          <w:lang w:val="en-GB" w:eastAsia="cs-CZ"/>
          <w14:ligatures w14:val="none"/>
        </w:rPr>
        <w:t>5</w:t>
      </w:r>
      <w:r w:rsidR="00E05E17" w:rsidRPr="00E268DA">
        <w:rPr>
          <w:rFonts w:eastAsia="Times New Roman"/>
          <w:b/>
          <w:bCs/>
          <w:kern w:val="0"/>
          <w:sz w:val="24"/>
          <w:szCs w:val="24"/>
          <w:lang w:val="en-GB" w:eastAsia="cs-CZ"/>
          <w14:ligatures w14:val="none"/>
        </w:rPr>
        <w:t xml:space="preserve"> months</w:t>
      </w:r>
      <w:r w:rsidRPr="00E268DA">
        <w:rPr>
          <w:rFonts w:eastAsia="Times New Roman"/>
          <w:kern w:val="0"/>
          <w:sz w:val="24"/>
          <w:szCs w:val="24"/>
          <w:lang w:val="en-GB" w:eastAsia="cs-CZ"/>
          <w14:ligatures w14:val="none"/>
        </w:rPr>
        <w:t xml:space="preserve">, specifically from the effective date of the contract until </w:t>
      </w:r>
      <w:r w:rsidRPr="00E268DA">
        <w:rPr>
          <w:rFonts w:eastAsia="Times New Roman"/>
          <w:b/>
          <w:bCs/>
          <w:kern w:val="0"/>
          <w:sz w:val="24"/>
          <w:szCs w:val="24"/>
          <w:lang w:val="en-GB" w:eastAsia="cs-CZ"/>
          <w14:ligatures w14:val="none"/>
        </w:rPr>
        <w:t>October 31, 2027</w:t>
      </w:r>
      <w:r w:rsidRPr="00E268DA">
        <w:rPr>
          <w:rFonts w:eastAsia="Times New Roman"/>
          <w:kern w:val="0"/>
          <w:sz w:val="24"/>
          <w:szCs w:val="24"/>
          <w:lang w:val="en-GB" w:eastAsia="cs-CZ"/>
          <w14:ligatures w14:val="none"/>
        </w:rPr>
        <w:t>.</w:t>
      </w:r>
    </w:p>
    <w:p w14:paraId="6DB21D8C" w14:textId="77777777" w:rsidR="00FE34FE" w:rsidRPr="00E268DA" w:rsidRDefault="00FE34FE" w:rsidP="00FE34FE">
      <w:pPr>
        <w:spacing w:before="100" w:beforeAutospacing="1" w:after="100" w:afterAutospacing="1" w:line="240" w:lineRule="auto"/>
        <w:jc w:val="both"/>
        <w:outlineLvl w:val="1"/>
        <w:rPr>
          <w:rFonts w:eastAsia="Times New Roman" w:cstheme="minorHAnsi"/>
          <w:b/>
          <w:bCs/>
          <w:kern w:val="0"/>
          <w:sz w:val="36"/>
          <w:szCs w:val="36"/>
          <w:lang w:val="en-GB" w:eastAsia="cs-CZ"/>
          <w14:ligatures w14:val="none"/>
        </w:rPr>
      </w:pPr>
      <w:r w:rsidRPr="00E268DA">
        <w:rPr>
          <w:rFonts w:eastAsia="Times New Roman" w:cstheme="minorHAnsi"/>
          <w:b/>
          <w:bCs/>
          <w:kern w:val="0"/>
          <w:sz w:val="36"/>
          <w:szCs w:val="36"/>
          <w:lang w:val="en-GB" w:eastAsia="cs-CZ"/>
          <w14:ligatures w14:val="none"/>
        </w:rPr>
        <w:t>2. Functional requirements</w:t>
      </w:r>
    </w:p>
    <w:p w14:paraId="6524699C" w14:textId="77777777" w:rsidR="00FE34FE" w:rsidRPr="00E268DA" w:rsidRDefault="00FE34FE" w:rsidP="00FE34FE">
      <w:pPr>
        <w:spacing w:before="100" w:beforeAutospacing="1" w:after="100" w:afterAutospacing="1" w:line="240" w:lineRule="auto"/>
        <w:jc w:val="both"/>
        <w:outlineLvl w:val="2"/>
        <w:rPr>
          <w:rFonts w:eastAsia="Times New Roman" w:cstheme="minorHAnsi"/>
          <w:b/>
          <w:bCs/>
          <w:kern w:val="0"/>
          <w:sz w:val="27"/>
          <w:szCs w:val="27"/>
          <w:lang w:val="en-GB" w:eastAsia="cs-CZ"/>
          <w14:ligatures w14:val="none"/>
        </w:rPr>
      </w:pPr>
      <w:r w:rsidRPr="00E268DA">
        <w:rPr>
          <w:rFonts w:eastAsia="Times New Roman" w:cstheme="minorHAnsi"/>
          <w:b/>
          <w:bCs/>
          <w:kern w:val="0"/>
          <w:sz w:val="27"/>
          <w:szCs w:val="27"/>
          <w:lang w:val="en-GB" w:eastAsia="cs-CZ"/>
          <w14:ligatures w14:val="none"/>
        </w:rPr>
        <w:t>2.1 Portal for the presentation of research outputs</w:t>
      </w:r>
    </w:p>
    <w:p w14:paraId="3BF1AE9B" w14:textId="77777777" w:rsidR="00B07085" w:rsidRPr="00E268DA" w:rsidRDefault="00B07085" w:rsidP="00E268DA">
      <w:pPr>
        <w:rPr>
          <w:sz w:val="24"/>
          <w:szCs w:val="24"/>
          <w:lang w:val="en-GB"/>
        </w:rPr>
      </w:pPr>
      <w:r w:rsidRPr="00E268DA">
        <w:rPr>
          <w:sz w:val="24"/>
          <w:szCs w:val="24"/>
          <w:lang w:val="en-GB"/>
        </w:rPr>
        <w:t>The proposed system must support the following functionalities:</w:t>
      </w:r>
    </w:p>
    <w:p w14:paraId="41C43445"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Custom-Branded Community Portal</w:t>
      </w:r>
      <w:r w:rsidRPr="00E268DA">
        <w:rPr>
          <w:sz w:val="24"/>
          <w:szCs w:val="24"/>
          <w:lang w:val="en-GB"/>
        </w:rPr>
        <w:br/>
        <w:t>Ability to create a dedicated, custom-branded portal accessible via its own domain, including visual customization options (logo, name, colors, typography, and layout).</w:t>
      </w:r>
    </w:p>
    <w:p w14:paraId="1F160B3E"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Consistent User Experience</w:t>
      </w:r>
      <w:r w:rsidRPr="00E268DA">
        <w:rPr>
          <w:sz w:val="24"/>
          <w:szCs w:val="24"/>
          <w:lang w:val="en-GB"/>
        </w:rPr>
        <w:br/>
        <w:t xml:space="preserve">Maintain visual and functional consistency with existing alliance services, using the main portal (e.g., </w:t>
      </w:r>
      <w:hyperlink r:id="rId12" w:tgtFrame="_new" w:history="1">
        <w:r w:rsidRPr="00E268DA">
          <w:rPr>
            <w:rStyle w:val="Hypertextovodkaz"/>
            <w:sz w:val="24"/>
            <w:szCs w:val="24"/>
            <w:lang w:val="en-GB"/>
          </w:rPr>
          <w:t>https://starseu.org</w:t>
        </w:r>
      </w:hyperlink>
      <w:r w:rsidRPr="00E268DA">
        <w:rPr>
          <w:sz w:val="24"/>
          <w:szCs w:val="24"/>
          <w:lang w:val="en-GB"/>
        </w:rPr>
        <w:t>) as a reference for user interface styles and branding.</w:t>
      </w:r>
    </w:p>
    <w:p w14:paraId="2BBA0AA3"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lastRenderedPageBreak/>
        <w:t>Flexible Website Structure</w:t>
      </w:r>
      <w:r w:rsidRPr="00E268DA">
        <w:rPr>
          <w:sz w:val="24"/>
          <w:szCs w:val="24"/>
          <w:lang w:val="en-GB"/>
        </w:rPr>
        <w:br/>
        <w:t>Support for a customizable page structure, including editable homepage, menus, and subpages, with the option for content editing by designated users.</w:t>
      </w:r>
    </w:p>
    <w:p w14:paraId="1B36E323" w14:textId="4AE3FD9A"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Administrative Access</w:t>
      </w:r>
      <w:r w:rsidRPr="00E268DA">
        <w:rPr>
          <w:sz w:val="24"/>
          <w:szCs w:val="24"/>
          <w:lang w:val="en-GB"/>
        </w:rPr>
        <w:br/>
        <w:t xml:space="preserve">Unlimited number of administrators and </w:t>
      </w:r>
      <w:r w:rsidR="00D410F6" w:rsidRPr="00E268DA">
        <w:rPr>
          <w:sz w:val="24"/>
          <w:szCs w:val="24"/>
          <w:lang w:val="en-GB"/>
        </w:rPr>
        <w:t>managers</w:t>
      </w:r>
      <w:r w:rsidRPr="00E268DA">
        <w:rPr>
          <w:sz w:val="24"/>
          <w:szCs w:val="24"/>
          <w:lang w:val="en-GB"/>
        </w:rPr>
        <w:t>, with differentiated access and editing rights.</w:t>
      </w:r>
    </w:p>
    <w:p w14:paraId="23B479FA"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User Authentication Options</w:t>
      </w:r>
    </w:p>
    <w:p w14:paraId="5DB83181" w14:textId="77777777" w:rsidR="00B07085" w:rsidRPr="00E268DA" w:rsidRDefault="00B07085" w:rsidP="00E268DA">
      <w:pPr>
        <w:pStyle w:val="Odstavecseseznamem"/>
        <w:numPr>
          <w:ilvl w:val="1"/>
          <w:numId w:val="16"/>
        </w:numPr>
        <w:rPr>
          <w:sz w:val="24"/>
          <w:szCs w:val="24"/>
          <w:lang w:val="en-GB"/>
        </w:rPr>
      </w:pPr>
      <w:r w:rsidRPr="00E268DA">
        <w:rPr>
          <w:sz w:val="24"/>
          <w:szCs w:val="24"/>
          <w:lang w:val="en-GB"/>
        </w:rPr>
        <w:t>Federated login via academic identity providers (eduGAIN),</w:t>
      </w:r>
    </w:p>
    <w:p w14:paraId="7E4FF8DA" w14:textId="77777777" w:rsidR="00B07085" w:rsidRPr="00E268DA" w:rsidRDefault="00B07085" w:rsidP="00E268DA">
      <w:pPr>
        <w:pStyle w:val="Odstavecseseznamem"/>
        <w:numPr>
          <w:ilvl w:val="1"/>
          <w:numId w:val="16"/>
        </w:numPr>
        <w:rPr>
          <w:sz w:val="24"/>
          <w:szCs w:val="24"/>
          <w:lang w:val="it-IT"/>
        </w:rPr>
      </w:pPr>
      <w:r w:rsidRPr="00E268DA">
        <w:rPr>
          <w:sz w:val="24"/>
          <w:szCs w:val="24"/>
          <w:lang w:val="it-IT"/>
        </w:rPr>
        <w:t>Social login via Google, GitHub, ORCID,</w:t>
      </w:r>
    </w:p>
    <w:p w14:paraId="5D0ABEFA" w14:textId="4695570A" w:rsidR="00B07085" w:rsidRPr="00E268DA" w:rsidRDefault="00B07085" w:rsidP="00E268DA">
      <w:pPr>
        <w:pStyle w:val="Odstavecseseznamem"/>
        <w:numPr>
          <w:ilvl w:val="1"/>
          <w:numId w:val="16"/>
        </w:numPr>
        <w:rPr>
          <w:sz w:val="24"/>
          <w:szCs w:val="24"/>
          <w:lang w:val="en-GB"/>
        </w:rPr>
      </w:pPr>
      <w:r w:rsidRPr="00E268DA">
        <w:rPr>
          <w:sz w:val="24"/>
          <w:szCs w:val="24"/>
          <w:lang w:val="en-GB"/>
        </w:rPr>
        <w:t>account-based login,</w:t>
      </w:r>
    </w:p>
    <w:p w14:paraId="004D595C" w14:textId="77777777" w:rsidR="00B07085" w:rsidRPr="007150EC" w:rsidRDefault="00B07085" w:rsidP="00E268DA">
      <w:pPr>
        <w:pStyle w:val="Odstavecseseznamem"/>
        <w:numPr>
          <w:ilvl w:val="1"/>
          <w:numId w:val="16"/>
        </w:numPr>
        <w:rPr>
          <w:sz w:val="24"/>
          <w:szCs w:val="24"/>
          <w:lang w:val="en-GB"/>
        </w:rPr>
      </w:pPr>
      <w:r w:rsidRPr="007150EC">
        <w:rPr>
          <w:sz w:val="24"/>
          <w:szCs w:val="24"/>
          <w:lang w:val="en-GB"/>
        </w:rPr>
        <w:t xml:space="preserve">Integration with the STARS EU Alliance SSO authentication system (SAML 2.0), e.g., </w:t>
      </w:r>
      <w:hyperlink r:id="rId13" w:tgtFrame="_new" w:history="1">
        <w:r w:rsidRPr="007150EC">
          <w:rPr>
            <w:rStyle w:val="Hypertextovodkaz"/>
            <w:sz w:val="24"/>
            <w:szCs w:val="24"/>
            <w:lang w:val="en-GB"/>
          </w:rPr>
          <w:t>https://campus.starseu.org/login</w:t>
        </w:r>
      </w:hyperlink>
      <w:r w:rsidRPr="007150EC">
        <w:rPr>
          <w:sz w:val="24"/>
          <w:szCs w:val="24"/>
          <w:lang w:val="en-GB"/>
        </w:rPr>
        <w:t>, leveraging released identity attributes where needed.</w:t>
      </w:r>
    </w:p>
    <w:p w14:paraId="3269DE69"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Advanced Search &amp; Filtering</w:t>
      </w:r>
      <w:r w:rsidRPr="00E268DA">
        <w:rPr>
          <w:sz w:val="24"/>
          <w:szCs w:val="24"/>
          <w:lang w:val="en-GB"/>
        </w:rPr>
        <w:br/>
        <w:t>Discovery and filtering of research outputs by:</w:t>
      </w:r>
    </w:p>
    <w:p w14:paraId="228640A2" w14:textId="77777777" w:rsidR="00B07085" w:rsidRPr="00E268DA" w:rsidRDefault="00B07085" w:rsidP="00E268DA">
      <w:pPr>
        <w:pStyle w:val="Odstavecseseznamem"/>
        <w:numPr>
          <w:ilvl w:val="1"/>
          <w:numId w:val="16"/>
        </w:numPr>
        <w:rPr>
          <w:sz w:val="24"/>
          <w:szCs w:val="24"/>
          <w:lang w:val="en-GB"/>
        </w:rPr>
      </w:pPr>
      <w:r w:rsidRPr="00E268DA">
        <w:rPr>
          <w:sz w:val="24"/>
          <w:szCs w:val="24"/>
          <w:lang w:val="en-GB"/>
        </w:rPr>
        <w:t>Type of access (open, closed, embargo),</w:t>
      </w:r>
    </w:p>
    <w:p w14:paraId="136A4A97" w14:textId="77777777" w:rsidR="00B07085" w:rsidRPr="00E268DA" w:rsidRDefault="00B07085" w:rsidP="00E268DA">
      <w:pPr>
        <w:pStyle w:val="Odstavecseseznamem"/>
        <w:numPr>
          <w:ilvl w:val="1"/>
          <w:numId w:val="16"/>
        </w:numPr>
        <w:rPr>
          <w:sz w:val="24"/>
          <w:szCs w:val="24"/>
          <w:lang w:val="en-GB"/>
        </w:rPr>
      </w:pPr>
      <w:r w:rsidRPr="00E268DA">
        <w:rPr>
          <w:sz w:val="24"/>
          <w:szCs w:val="24"/>
          <w:lang w:val="en-GB"/>
        </w:rPr>
        <w:t>Type of output (e.g., publications, data, software),</w:t>
      </w:r>
    </w:p>
    <w:p w14:paraId="6FBC3E1F" w14:textId="77777777" w:rsidR="00B07085" w:rsidRPr="00E268DA" w:rsidRDefault="00B07085" w:rsidP="00E268DA">
      <w:pPr>
        <w:pStyle w:val="Odstavecseseznamem"/>
        <w:numPr>
          <w:ilvl w:val="1"/>
          <w:numId w:val="16"/>
        </w:numPr>
        <w:rPr>
          <w:sz w:val="24"/>
          <w:szCs w:val="24"/>
          <w:lang w:val="en-GB"/>
        </w:rPr>
      </w:pPr>
      <w:r w:rsidRPr="00E268DA">
        <w:rPr>
          <w:sz w:val="24"/>
          <w:szCs w:val="24"/>
          <w:lang w:val="en-GB"/>
        </w:rPr>
        <w:t>Field of science (FoS),</w:t>
      </w:r>
    </w:p>
    <w:p w14:paraId="23A81F1A" w14:textId="77777777" w:rsidR="00B07085" w:rsidRPr="00E268DA" w:rsidRDefault="00B07085" w:rsidP="00E268DA">
      <w:pPr>
        <w:pStyle w:val="Odstavecseseznamem"/>
        <w:numPr>
          <w:ilvl w:val="1"/>
          <w:numId w:val="16"/>
        </w:numPr>
        <w:rPr>
          <w:sz w:val="24"/>
          <w:szCs w:val="24"/>
          <w:lang w:val="en-GB"/>
        </w:rPr>
      </w:pPr>
      <w:r w:rsidRPr="00E268DA">
        <w:rPr>
          <w:sz w:val="24"/>
          <w:szCs w:val="24"/>
          <w:lang w:val="en-GB"/>
        </w:rPr>
        <w:t>Sustainable Development Goals (SDGs),</w:t>
      </w:r>
    </w:p>
    <w:p w14:paraId="03BDFB3F" w14:textId="77777777" w:rsidR="00B07085" w:rsidRPr="00E268DA" w:rsidRDefault="00B07085" w:rsidP="00E268DA">
      <w:pPr>
        <w:pStyle w:val="Odstavecseseznamem"/>
        <w:numPr>
          <w:ilvl w:val="1"/>
          <w:numId w:val="16"/>
        </w:numPr>
        <w:rPr>
          <w:sz w:val="24"/>
          <w:szCs w:val="24"/>
          <w:lang w:val="en-GB"/>
        </w:rPr>
      </w:pPr>
      <w:r w:rsidRPr="00E268DA">
        <w:rPr>
          <w:sz w:val="24"/>
          <w:szCs w:val="24"/>
          <w:lang w:val="en-GB"/>
        </w:rPr>
        <w:t>Community affiliation,</w:t>
      </w:r>
    </w:p>
    <w:p w14:paraId="2A5C485A" w14:textId="77777777" w:rsidR="00B07085" w:rsidRPr="00E268DA" w:rsidRDefault="00B07085" w:rsidP="00E268DA">
      <w:pPr>
        <w:pStyle w:val="Odstavecseseznamem"/>
        <w:numPr>
          <w:ilvl w:val="1"/>
          <w:numId w:val="16"/>
        </w:numPr>
        <w:rPr>
          <w:sz w:val="24"/>
          <w:szCs w:val="24"/>
          <w:lang w:val="en-GB"/>
        </w:rPr>
      </w:pPr>
      <w:r w:rsidRPr="00E268DA">
        <w:rPr>
          <w:sz w:val="24"/>
          <w:szCs w:val="24"/>
          <w:lang w:val="en-GB"/>
        </w:rPr>
        <w:t>Funding source, language, and date range.</w:t>
      </w:r>
    </w:p>
    <w:p w14:paraId="31505B78"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Output Linking &amp; Author Integration</w:t>
      </w:r>
      <w:r w:rsidRPr="00E268DA">
        <w:rPr>
          <w:sz w:val="24"/>
          <w:szCs w:val="24"/>
          <w:lang w:val="en-GB"/>
        </w:rPr>
        <w:br/>
        <w:t>Ability to group and link outputs under specific projects and associate them with author identifiers (e.g., ORCID).</w:t>
      </w:r>
    </w:p>
    <w:p w14:paraId="72D1DBF7"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Repository Compatibility</w:t>
      </w:r>
      <w:r w:rsidRPr="00E268DA">
        <w:rPr>
          <w:sz w:val="24"/>
          <w:szCs w:val="24"/>
          <w:lang w:val="en-GB"/>
        </w:rPr>
        <w:br/>
        <w:t>Integration with public data repositories (e.g., Zenodo) for harvesting and display of research outputs.</w:t>
      </w:r>
    </w:p>
    <w:p w14:paraId="77F0769B"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Custom Output Identification via TDM</w:t>
      </w:r>
      <w:r w:rsidRPr="00E268DA">
        <w:rPr>
          <w:sz w:val="24"/>
          <w:szCs w:val="24"/>
          <w:lang w:val="en-GB"/>
        </w:rPr>
        <w:br/>
        <w:t>Ability to integrate or deploy a text and data mining (TDM) algorithm to identify alliance-relevant outputs with high accuracy.</w:t>
      </w:r>
    </w:p>
    <w:p w14:paraId="5F031D74"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Usage Dashboards and Visual Reporting</w:t>
      </w:r>
      <w:r w:rsidRPr="00E268DA">
        <w:rPr>
          <w:sz w:val="24"/>
          <w:szCs w:val="24"/>
          <w:lang w:val="en-GB"/>
        </w:rPr>
        <w:br/>
        <w:t>Standard and customizable analytics dashboards to display statistics at the level of the entire alliance and per institution.</w:t>
      </w:r>
    </w:p>
    <w:p w14:paraId="158DE2CE"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Automated Data Refresh</w:t>
      </w:r>
      <w:r w:rsidRPr="00E268DA">
        <w:rPr>
          <w:sz w:val="24"/>
          <w:szCs w:val="24"/>
          <w:lang w:val="en-GB"/>
        </w:rPr>
        <w:br/>
        <w:t>Support for monthly data updates from publicly available and authoritative sources.</w:t>
      </w:r>
    </w:p>
    <w:p w14:paraId="7F42AF61" w14:textId="77777777" w:rsidR="00B07085" w:rsidRPr="00E268DA" w:rsidRDefault="00B07085" w:rsidP="00E268DA">
      <w:pPr>
        <w:pStyle w:val="Odstavecseseznamem"/>
        <w:numPr>
          <w:ilvl w:val="0"/>
          <w:numId w:val="16"/>
        </w:numPr>
        <w:rPr>
          <w:sz w:val="24"/>
          <w:szCs w:val="24"/>
          <w:lang w:val="en-GB"/>
        </w:rPr>
      </w:pPr>
      <w:r w:rsidRPr="00E268DA">
        <w:rPr>
          <w:rStyle w:val="Siln"/>
          <w:sz w:val="24"/>
          <w:szCs w:val="24"/>
          <w:lang w:val="en-GB"/>
        </w:rPr>
        <w:t>Integration with External Systems</w:t>
      </w:r>
      <w:r w:rsidRPr="00E268DA">
        <w:rPr>
          <w:sz w:val="24"/>
          <w:szCs w:val="24"/>
          <w:lang w:val="en-GB"/>
        </w:rPr>
        <w:br/>
        <w:t>Provide interoperability with other platforms and tools via embeddable components (iframe), export features, and accessible APIs.</w:t>
      </w:r>
    </w:p>
    <w:p w14:paraId="16881A98" w14:textId="77777777" w:rsidR="00FE34FE" w:rsidRPr="003F7726" w:rsidRDefault="00FE34FE" w:rsidP="00FE34FE">
      <w:pPr>
        <w:spacing w:before="100" w:beforeAutospacing="1" w:after="100" w:afterAutospacing="1" w:line="240" w:lineRule="auto"/>
        <w:jc w:val="both"/>
        <w:outlineLvl w:val="2"/>
        <w:rPr>
          <w:rFonts w:eastAsia="Times New Roman" w:cstheme="minorHAnsi"/>
          <w:b/>
          <w:bCs/>
          <w:kern w:val="0"/>
          <w:sz w:val="27"/>
          <w:szCs w:val="27"/>
          <w:lang w:val="en-GB" w:eastAsia="cs-CZ"/>
          <w14:ligatures w14:val="none"/>
        </w:rPr>
      </w:pPr>
      <w:r w:rsidRPr="00E268DA">
        <w:rPr>
          <w:rFonts w:eastAsia="Times New Roman" w:cstheme="minorHAnsi"/>
          <w:b/>
          <w:bCs/>
          <w:kern w:val="0"/>
          <w:sz w:val="27"/>
          <w:szCs w:val="27"/>
          <w:lang w:val="en-GB" w:eastAsia="cs-CZ"/>
          <w14:ligatures w14:val="none"/>
        </w:rPr>
        <w:t>2.2 Monitoring tool</w:t>
      </w:r>
    </w:p>
    <w:p w14:paraId="3FB0A9E7" w14:textId="77777777" w:rsidR="003F7726" w:rsidRPr="00464977" w:rsidRDefault="003F7726" w:rsidP="00E268DA">
      <w:pPr>
        <w:jc w:val="both"/>
        <w:rPr>
          <w:sz w:val="24"/>
          <w:szCs w:val="24"/>
          <w:lang w:val="en-US"/>
        </w:rPr>
      </w:pPr>
      <w:r w:rsidRPr="00464977">
        <w:rPr>
          <w:sz w:val="24"/>
          <w:szCs w:val="24"/>
          <w:lang w:val="en-US"/>
        </w:rPr>
        <w:t xml:space="preserve">The proposed instrument must support the creation of a dynamic monitoring and analytics dashboard designed to track key research indicators across an alliance of universities. These </w:t>
      </w:r>
      <w:r w:rsidRPr="00464977">
        <w:rPr>
          <w:sz w:val="24"/>
          <w:szCs w:val="24"/>
          <w:lang w:val="en-US"/>
        </w:rPr>
        <w:lastRenderedPageBreak/>
        <w:t>indicators may include research excellence, collaboration patterns, societal and scientific impact, and compliance with institutional and policy priorities (e.g. Open Science, FAIR data, SDGs). The system must allow monitoring at multiple levels — both aggregated across the entire alliance and broken down by individual institutions — to support evidence-based strategy, benchmarking, and coordination.</w:t>
      </w:r>
    </w:p>
    <w:p w14:paraId="7772C766" w14:textId="77777777" w:rsidR="003F7726" w:rsidRPr="00E268DA" w:rsidRDefault="003F7726" w:rsidP="00E268DA">
      <w:pPr>
        <w:rPr>
          <w:sz w:val="24"/>
          <w:szCs w:val="24"/>
          <w:lang w:val="en-GB"/>
        </w:rPr>
      </w:pPr>
      <w:r w:rsidRPr="00E268DA">
        <w:rPr>
          <w:sz w:val="24"/>
          <w:szCs w:val="24"/>
          <w:lang w:val="en-GB"/>
        </w:rPr>
        <w:t>The instrument must include the following functionalities:</w:t>
      </w:r>
    </w:p>
    <w:p w14:paraId="09589503" w14:textId="77777777"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Customizable Dashboard Interface</w:t>
      </w:r>
      <w:r w:rsidRPr="00E268DA">
        <w:rPr>
          <w:sz w:val="24"/>
          <w:szCs w:val="24"/>
          <w:lang w:val="en-GB"/>
        </w:rPr>
        <w:br/>
        <w:t>Ability to fully customize the dashboard’s visual identity (name, logo, structure), accessible from the client’s designated domain.</w:t>
      </w:r>
    </w:p>
    <w:p w14:paraId="2659386F" w14:textId="77777777"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Cross-Institutional Monitoring &amp; Filtering</w:t>
      </w:r>
      <w:r w:rsidRPr="00E268DA">
        <w:rPr>
          <w:sz w:val="24"/>
          <w:szCs w:val="24"/>
          <w:lang w:val="en-GB"/>
        </w:rPr>
        <w:br/>
        <w:t>Capability to monitor, filter, and visualize research outputs at both the alliance-wide level and for individual member institutions.</w:t>
      </w:r>
    </w:p>
    <w:p w14:paraId="47D6B179" w14:textId="77777777"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Granular Access Control</w:t>
      </w:r>
      <w:r w:rsidRPr="00E268DA">
        <w:rPr>
          <w:sz w:val="24"/>
          <w:szCs w:val="24"/>
          <w:lang w:val="en-GB"/>
        </w:rPr>
        <w:br/>
        <w:t>Support for multiple access levels, including:</w:t>
      </w:r>
    </w:p>
    <w:p w14:paraId="12633CD0" w14:textId="77777777" w:rsidR="003F7726" w:rsidRPr="00E268DA" w:rsidRDefault="003F7726" w:rsidP="00E268DA">
      <w:pPr>
        <w:pStyle w:val="Odstavecseseznamem"/>
        <w:numPr>
          <w:ilvl w:val="1"/>
          <w:numId w:val="18"/>
        </w:numPr>
        <w:rPr>
          <w:sz w:val="24"/>
          <w:szCs w:val="24"/>
          <w:lang w:val="en-GB"/>
        </w:rPr>
      </w:pPr>
      <w:r w:rsidRPr="00E268DA">
        <w:rPr>
          <w:sz w:val="24"/>
          <w:szCs w:val="24"/>
          <w:lang w:val="en-GB"/>
        </w:rPr>
        <w:t>Public dashboards,</w:t>
      </w:r>
    </w:p>
    <w:p w14:paraId="0420A07A" w14:textId="77777777" w:rsidR="003F7726" w:rsidRPr="00E268DA" w:rsidRDefault="003F7726" w:rsidP="00E268DA">
      <w:pPr>
        <w:pStyle w:val="Odstavecseseznamem"/>
        <w:numPr>
          <w:ilvl w:val="1"/>
          <w:numId w:val="18"/>
        </w:numPr>
        <w:rPr>
          <w:sz w:val="24"/>
          <w:szCs w:val="24"/>
          <w:lang w:val="en-GB"/>
        </w:rPr>
      </w:pPr>
      <w:r w:rsidRPr="00E268DA">
        <w:rPr>
          <w:sz w:val="24"/>
          <w:szCs w:val="24"/>
          <w:lang w:val="en-GB"/>
        </w:rPr>
        <w:t>Restricted internal dashboards (for alliance members),</w:t>
      </w:r>
    </w:p>
    <w:p w14:paraId="72B92289" w14:textId="77777777" w:rsidR="003F7726" w:rsidRPr="00E268DA" w:rsidRDefault="003F7726" w:rsidP="00E268DA">
      <w:pPr>
        <w:pStyle w:val="Odstavecseseznamem"/>
        <w:numPr>
          <w:ilvl w:val="1"/>
          <w:numId w:val="18"/>
        </w:numPr>
        <w:rPr>
          <w:sz w:val="24"/>
          <w:szCs w:val="24"/>
          <w:lang w:val="en-GB"/>
        </w:rPr>
      </w:pPr>
      <w:r w:rsidRPr="00E268DA">
        <w:rPr>
          <w:sz w:val="24"/>
          <w:szCs w:val="24"/>
          <w:lang w:val="en-GB"/>
        </w:rPr>
        <w:t>Private dashboards (for draft review and internal analysis).</w:t>
      </w:r>
    </w:p>
    <w:p w14:paraId="436EE724" w14:textId="77777777"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Role-Based Management</w:t>
      </w:r>
      <w:r w:rsidRPr="00E268DA">
        <w:rPr>
          <w:sz w:val="24"/>
          <w:szCs w:val="24"/>
          <w:lang w:val="en-GB"/>
        </w:rPr>
        <w:br/>
        <w:t>Management by multiple administrators with the ability to invite users, assign roles, and configure permissions.</w:t>
      </w:r>
    </w:p>
    <w:p w14:paraId="10A63635" w14:textId="77777777"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Text &amp; Data Mining (TDM) Integration</w:t>
      </w:r>
      <w:r w:rsidRPr="00E268DA">
        <w:rPr>
          <w:sz w:val="24"/>
          <w:szCs w:val="24"/>
          <w:lang w:val="en-GB"/>
        </w:rPr>
        <w:br/>
        <w:t>Integration of TDM capabilities to automatically classify and map research outputs to projects, authors, institutions, and domains.</w:t>
      </w:r>
    </w:p>
    <w:p w14:paraId="537A58D5" w14:textId="77777777"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Data Export &amp; Embedding</w:t>
      </w:r>
      <w:r w:rsidRPr="00E268DA">
        <w:rPr>
          <w:sz w:val="24"/>
          <w:szCs w:val="24"/>
          <w:lang w:val="en-GB"/>
        </w:rPr>
        <w:br/>
        <w:t>Export of graphs, data tables, and analytics in common formats: CSV, XLS, PNG, PDF, SVG, with the option to embed visualizations in external websites.</w:t>
      </w:r>
    </w:p>
    <w:p w14:paraId="17AECB75" w14:textId="77777777"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API Access</w:t>
      </w:r>
      <w:r w:rsidRPr="00E268DA">
        <w:rPr>
          <w:sz w:val="24"/>
          <w:szCs w:val="24"/>
          <w:lang w:val="en-GB"/>
        </w:rPr>
        <w:br/>
        <w:t>Access to standard and bulk APIs to retrieve structured metadata on research outputs, projects, funding, licenses, and related entities.</w:t>
      </w:r>
    </w:p>
    <w:p w14:paraId="27C00672" w14:textId="77777777"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Umbrella Dashboard Support</w:t>
      </w:r>
      <w:r w:rsidRPr="00E268DA">
        <w:rPr>
          <w:sz w:val="24"/>
          <w:szCs w:val="24"/>
          <w:lang w:val="en-GB"/>
        </w:rPr>
        <w:br/>
        <w:t>Ability to present combined indicators and activities from multiple institutions within a unified view.</w:t>
      </w:r>
    </w:p>
    <w:p w14:paraId="0CC40D12" w14:textId="77777777"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Automated Monthly Updates</w:t>
      </w:r>
      <w:r w:rsidRPr="00E268DA">
        <w:rPr>
          <w:sz w:val="24"/>
          <w:szCs w:val="24"/>
          <w:lang w:val="en-GB"/>
        </w:rPr>
        <w:br/>
        <w:t>System must support automated monthly updates based on current, publicly available Open Science sources.</w:t>
      </w:r>
    </w:p>
    <w:p w14:paraId="4FA39B56" w14:textId="53451778" w:rsidR="003F7726" w:rsidRPr="00E268DA" w:rsidRDefault="003F7726" w:rsidP="00E268DA">
      <w:pPr>
        <w:pStyle w:val="Odstavecseseznamem"/>
        <w:numPr>
          <w:ilvl w:val="0"/>
          <w:numId w:val="18"/>
        </w:numPr>
        <w:rPr>
          <w:sz w:val="24"/>
          <w:szCs w:val="24"/>
          <w:lang w:val="en-GB"/>
        </w:rPr>
      </w:pPr>
      <w:r w:rsidRPr="00E268DA">
        <w:rPr>
          <w:rStyle w:val="Siln"/>
          <w:sz w:val="24"/>
          <w:szCs w:val="24"/>
          <w:lang w:val="en-GB"/>
        </w:rPr>
        <w:t>User Documentation &amp; Support</w:t>
      </w:r>
      <w:r w:rsidRPr="00E268DA">
        <w:rPr>
          <w:sz w:val="24"/>
          <w:szCs w:val="24"/>
          <w:lang w:val="en-GB"/>
        </w:rPr>
        <w:br/>
        <w:t>Access to detailed user guides, system documentation, and ongoing technical support.</w:t>
      </w:r>
    </w:p>
    <w:p w14:paraId="3C25DF45" w14:textId="23154936" w:rsidR="00FE34FE" w:rsidRPr="00E268DA" w:rsidRDefault="00FE34FE" w:rsidP="00FE34FE">
      <w:pPr>
        <w:spacing w:after="0" w:line="240" w:lineRule="auto"/>
        <w:jc w:val="both"/>
        <w:rPr>
          <w:rFonts w:eastAsia="Times New Roman" w:cstheme="minorHAnsi"/>
          <w:kern w:val="0"/>
          <w:sz w:val="24"/>
          <w:szCs w:val="24"/>
          <w:lang w:val="en-GB" w:eastAsia="cs-CZ"/>
          <w14:ligatures w14:val="none"/>
        </w:rPr>
      </w:pPr>
    </w:p>
    <w:p w14:paraId="13F32991" w14:textId="76DB069C" w:rsidR="00FE34FE" w:rsidRPr="003F7726" w:rsidRDefault="00FE34FE" w:rsidP="00FE34FE">
      <w:pPr>
        <w:spacing w:before="100" w:beforeAutospacing="1" w:after="100" w:afterAutospacing="1" w:line="240" w:lineRule="auto"/>
        <w:jc w:val="both"/>
        <w:outlineLvl w:val="1"/>
        <w:rPr>
          <w:rFonts w:eastAsia="Times New Roman" w:cstheme="minorHAnsi"/>
          <w:b/>
          <w:bCs/>
          <w:kern w:val="0"/>
          <w:sz w:val="36"/>
          <w:szCs w:val="36"/>
          <w:lang w:val="en-GB" w:eastAsia="cs-CZ"/>
          <w14:ligatures w14:val="none"/>
        </w:rPr>
      </w:pPr>
      <w:r w:rsidRPr="00E268DA">
        <w:rPr>
          <w:rFonts w:eastAsia="Times New Roman" w:cstheme="minorHAnsi"/>
          <w:b/>
          <w:bCs/>
          <w:kern w:val="0"/>
          <w:sz w:val="36"/>
          <w:szCs w:val="36"/>
          <w:lang w:val="en-GB" w:eastAsia="cs-CZ"/>
          <w14:ligatures w14:val="none"/>
        </w:rPr>
        <w:lastRenderedPageBreak/>
        <w:t>3. Ability to interconnect and collaborate with existing systems</w:t>
      </w:r>
    </w:p>
    <w:p w14:paraId="3EE50062" w14:textId="77777777" w:rsidR="003F7726" w:rsidRPr="00E268DA" w:rsidRDefault="003F7726" w:rsidP="00FC5BD6">
      <w:pPr>
        <w:jc w:val="both"/>
        <w:rPr>
          <w:sz w:val="24"/>
          <w:szCs w:val="24"/>
          <w:lang w:val="en-GB" w:eastAsia="en-GB"/>
        </w:rPr>
      </w:pPr>
      <w:r w:rsidRPr="00E268DA">
        <w:rPr>
          <w:sz w:val="24"/>
          <w:szCs w:val="24"/>
          <w:lang w:val="en-GB" w:eastAsia="en-GB"/>
        </w:rPr>
        <w:t>The proposed solution must demonstrate full capability to interoperate with institutional, national, and international research infrastructures currently used by STARS EU Alliance partners. It must enable seamless discovery, monitoring, and reporting of research outputs through a centralized interface, while maintaining compatibility with established standards and diverse repository platforms.</w:t>
      </w:r>
    </w:p>
    <w:p w14:paraId="724C7A4D" w14:textId="77777777" w:rsidR="003F7726" w:rsidRPr="00E268DA" w:rsidRDefault="003F7726" w:rsidP="003F7726">
      <w:pPr>
        <w:spacing w:before="100" w:beforeAutospacing="1" w:after="100" w:afterAutospacing="1" w:line="240" w:lineRule="auto"/>
        <w:outlineLvl w:val="3"/>
        <w:rPr>
          <w:rFonts w:eastAsia="Times New Roman" w:cstheme="minorHAnsi"/>
          <w:b/>
          <w:bCs/>
          <w:kern w:val="0"/>
          <w:sz w:val="24"/>
          <w:szCs w:val="24"/>
          <w:lang w:val="en-GB" w:eastAsia="en-GB"/>
          <w14:ligatures w14:val="none"/>
        </w:rPr>
      </w:pPr>
      <w:r w:rsidRPr="00E268DA">
        <w:rPr>
          <w:rFonts w:eastAsia="Times New Roman" w:cstheme="minorHAnsi"/>
          <w:b/>
          <w:bCs/>
          <w:kern w:val="0"/>
          <w:sz w:val="24"/>
          <w:szCs w:val="24"/>
          <w:lang w:val="en-GB" w:eastAsia="en-GB"/>
          <w14:ligatures w14:val="none"/>
        </w:rPr>
        <w:t>The solution must support:</w:t>
      </w:r>
    </w:p>
    <w:p w14:paraId="7AFCDFD8" w14:textId="77777777" w:rsidR="003F7726" w:rsidRPr="007A1E4C" w:rsidRDefault="003F7726" w:rsidP="003F7726">
      <w:pPr>
        <w:numPr>
          <w:ilvl w:val="0"/>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b/>
          <w:bCs/>
          <w:kern w:val="0"/>
          <w:sz w:val="24"/>
          <w:szCs w:val="24"/>
          <w:lang w:val="en-GB" w:eastAsia="en-GB"/>
          <w14:ligatures w14:val="none"/>
        </w:rPr>
        <w:t>Standardized Data Access</w:t>
      </w:r>
      <w:r w:rsidRPr="007A1E4C">
        <w:rPr>
          <w:rFonts w:eastAsia="Times New Roman" w:cstheme="minorHAnsi"/>
          <w:kern w:val="0"/>
          <w:sz w:val="24"/>
          <w:szCs w:val="24"/>
          <w:lang w:val="en-GB" w:eastAsia="en-GB"/>
          <w14:ligatures w14:val="none"/>
        </w:rPr>
        <w:br/>
        <w:t>Provision of data access via well-documented and secure application programming</w:t>
      </w:r>
      <w:r w:rsidRPr="007A1E4C">
        <w:rPr>
          <w:rFonts w:eastAsia="Times New Roman" w:cstheme="minorHAnsi"/>
          <w:b/>
          <w:bCs/>
          <w:kern w:val="0"/>
          <w:sz w:val="24"/>
          <w:szCs w:val="24"/>
          <w:lang w:val="en-GB" w:eastAsia="en-GB"/>
          <w14:ligatures w14:val="none"/>
        </w:rPr>
        <w:t xml:space="preserve"> </w:t>
      </w:r>
      <w:r w:rsidRPr="007A1E4C">
        <w:rPr>
          <w:rFonts w:eastAsia="Times New Roman" w:cstheme="minorHAnsi"/>
          <w:kern w:val="0"/>
          <w:sz w:val="24"/>
          <w:szCs w:val="24"/>
          <w:lang w:val="en-GB" w:eastAsia="en-GB"/>
          <w14:ligatures w14:val="none"/>
        </w:rPr>
        <w:t>interfaces (APIs) for integration with third-party tools and systems.</w:t>
      </w:r>
    </w:p>
    <w:p w14:paraId="522455AF" w14:textId="77777777" w:rsidR="003F7726" w:rsidRPr="007A1E4C" w:rsidRDefault="003F7726" w:rsidP="003F7726">
      <w:pPr>
        <w:numPr>
          <w:ilvl w:val="0"/>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b/>
          <w:bCs/>
          <w:kern w:val="0"/>
          <w:sz w:val="24"/>
          <w:szCs w:val="24"/>
          <w:lang w:val="en-GB" w:eastAsia="en-GB"/>
          <w14:ligatures w14:val="none"/>
        </w:rPr>
        <w:t>Flexible Metadata Export</w:t>
      </w:r>
      <w:r w:rsidRPr="007A1E4C">
        <w:rPr>
          <w:rFonts w:eastAsia="Times New Roman" w:cstheme="minorHAnsi"/>
          <w:kern w:val="0"/>
          <w:sz w:val="24"/>
          <w:szCs w:val="24"/>
          <w:lang w:val="en-GB" w:eastAsia="en-GB"/>
          <w14:ligatures w14:val="none"/>
        </w:rPr>
        <w:br/>
        <w:t>Export of metadata in widely used, interoperable formats (e.g., JSON, XML, CSV) to support reuse and reporting.</w:t>
      </w:r>
    </w:p>
    <w:p w14:paraId="56F7E9EC" w14:textId="77777777" w:rsidR="003F7726" w:rsidRPr="007A1E4C" w:rsidRDefault="003F7726" w:rsidP="003F7726">
      <w:pPr>
        <w:numPr>
          <w:ilvl w:val="0"/>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b/>
          <w:bCs/>
          <w:kern w:val="0"/>
          <w:sz w:val="24"/>
          <w:szCs w:val="24"/>
          <w:lang w:val="en-GB" w:eastAsia="en-GB"/>
          <w14:ligatures w14:val="none"/>
        </w:rPr>
        <w:t>Federated Authentication</w:t>
      </w:r>
      <w:r w:rsidRPr="007A1E4C">
        <w:rPr>
          <w:rFonts w:eastAsia="Times New Roman" w:cstheme="minorHAnsi"/>
          <w:kern w:val="0"/>
          <w:sz w:val="24"/>
          <w:szCs w:val="24"/>
          <w:lang w:val="en-GB" w:eastAsia="en-GB"/>
          <w14:ligatures w14:val="none"/>
        </w:rPr>
        <w:br/>
        <w:t>Support for user login via multiple identity providers, including but not limited to:</w:t>
      </w:r>
    </w:p>
    <w:p w14:paraId="7FD5EA48" w14:textId="77777777" w:rsidR="003F7726" w:rsidRPr="007A1E4C" w:rsidRDefault="003F7726" w:rsidP="003F7726">
      <w:pPr>
        <w:numPr>
          <w:ilvl w:val="1"/>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kern w:val="0"/>
          <w:sz w:val="24"/>
          <w:szCs w:val="24"/>
          <w:lang w:val="en-GB" w:eastAsia="en-GB"/>
          <w14:ligatures w14:val="none"/>
        </w:rPr>
        <w:t>eduGAIN</w:t>
      </w:r>
    </w:p>
    <w:p w14:paraId="4C89CD68" w14:textId="77777777" w:rsidR="003F7726" w:rsidRPr="001C4F29" w:rsidRDefault="003F7726" w:rsidP="003F7726">
      <w:pPr>
        <w:numPr>
          <w:ilvl w:val="1"/>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1C4F29">
        <w:rPr>
          <w:rFonts w:eastAsia="Times New Roman" w:cstheme="minorHAnsi"/>
          <w:kern w:val="0"/>
          <w:sz w:val="24"/>
          <w:szCs w:val="24"/>
          <w:lang w:val="en-GB" w:eastAsia="en-GB"/>
          <w14:ligatures w14:val="none"/>
        </w:rPr>
        <w:t>SAML 2.0-compliant systems, such as the STARS EU Alliance SSO (</w:t>
      </w:r>
      <w:hyperlink r:id="rId14" w:tgtFrame="_new" w:history="1">
        <w:r w:rsidRPr="001C4F29">
          <w:rPr>
            <w:rFonts w:eastAsia="Times New Roman" w:cstheme="minorHAnsi"/>
            <w:color w:val="0000FF"/>
            <w:kern w:val="0"/>
            <w:sz w:val="24"/>
            <w:szCs w:val="24"/>
            <w:u w:val="single"/>
            <w:lang w:val="en-GB" w:eastAsia="en-GB"/>
            <w14:ligatures w14:val="none"/>
          </w:rPr>
          <w:t>https://campus.starseu.org/login</w:t>
        </w:r>
      </w:hyperlink>
      <w:r w:rsidRPr="001C4F29">
        <w:rPr>
          <w:rFonts w:eastAsia="Times New Roman" w:cstheme="minorHAnsi"/>
          <w:kern w:val="0"/>
          <w:sz w:val="24"/>
          <w:szCs w:val="24"/>
          <w:lang w:val="en-GB" w:eastAsia="en-GB"/>
          <w14:ligatures w14:val="none"/>
        </w:rPr>
        <w:t>)</w:t>
      </w:r>
    </w:p>
    <w:p w14:paraId="5D99F55B" w14:textId="77777777" w:rsidR="003F7726" w:rsidRPr="007A1E4C" w:rsidRDefault="003F7726" w:rsidP="003F7726">
      <w:pPr>
        <w:numPr>
          <w:ilvl w:val="1"/>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kern w:val="0"/>
          <w:sz w:val="24"/>
          <w:szCs w:val="24"/>
          <w:lang w:val="en-GB" w:eastAsia="en-GB"/>
          <w14:ligatures w14:val="none"/>
        </w:rPr>
        <w:t>ORCID</w:t>
      </w:r>
    </w:p>
    <w:p w14:paraId="76669772" w14:textId="77777777" w:rsidR="003F7726" w:rsidRPr="007A1E4C" w:rsidRDefault="003F7726" w:rsidP="003F7726">
      <w:pPr>
        <w:numPr>
          <w:ilvl w:val="1"/>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kern w:val="0"/>
          <w:sz w:val="24"/>
          <w:szCs w:val="24"/>
          <w:lang w:val="en-GB" w:eastAsia="en-GB"/>
          <w14:ligatures w14:val="none"/>
        </w:rPr>
        <w:t>Google</w:t>
      </w:r>
    </w:p>
    <w:p w14:paraId="58CCE620" w14:textId="77777777" w:rsidR="003F7726" w:rsidRPr="007A1E4C" w:rsidRDefault="003F7726" w:rsidP="003F7726">
      <w:pPr>
        <w:numPr>
          <w:ilvl w:val="0"/>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b/>
          <w:bCs/>
          <w:kern w:val="0"/>
          <w:sz w:val="24"/>
          <w:szCs w:val="24"/>
          <w:lang w:val="en-GB" w:eastAsia="en-GB"/>
          <w14:ligatures w14:val="none"/>
        </w:rPr>
        <w:t>Repository Interoperability</w:t>
      </w:r>
      <w:r w:rsidRPr="007A1E4C">
        <w:rPr>
          <w:rFonts w:eastAsia="Times New Roman" w:cstheme="minorHAnsi"/>
          <w:kern w:val="0"/>
          <w:sz w:val="24"/>
          <w:szCs w:val="24"/>
          <w:lang w:val="en-GB" w:eastAsia="en-GB"/>
          <w14:ligatures w14:val="none"/>
        </w:rPr>
        <w:br/>
        <w:t>Ability to connect with and harvest content from public and institutional research</w:t>
      </w:r>
      <w:r w:rsidRPr="007A1E4C">
        <w:rPr>
          <w:rFonts w:eastAsia="Times New Roman" w:cstheme="minorHAnsi"/>
          <w:b/>
          <w:bCs/>
          <w:kern w:val="0"/>
          <w:sz w:val="24"/>
          <w:szCs w:val="24"/>
          <w:lang w:val="en-GB" w:eastAsia="en-GB"/>
          <w14:ligatures w14:val="none"/>
        </w:rPr>
        <w:t xml:space="preserve"> </w:t>
      </w:r>
      <w:r w:rsidRPr="007A1E4C">
        <w:rPr>
          <w:rFonts w:eastAsia="Times New Roman" w:cstheme="minorHAnsi"/>
          <w:kern w:val="0"/>
          <w:sz w:val="24"/>
          <w:szCs w:val="24"/>
          <w:lang w:val="en-GB" w:eastAsia="en-GB"/>
          <w14:ligatures w14:val="none"/>
        </w:rPr>
        <w:t>repositories, using standard protocols (e.g., OAI-PMH) and structured metadata schemas.</w:t>
      </w:r>
    </w:p>
    <w:p w14:paraId="47A54140" w14:textId="3A76174C" w:rsidR="003F7726" w:rsidRPr="007A1E4C" w:rsidRDefault="003F7726" w:rsidP="003F7726">
      <w:pPr>
        <w:numPr>
          <w:ilvl w:val="0"/>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b/>
          <w:bCs/>
          <w:kern w:val="0"/>
          <w:sz w:val="24"/>
          <w:szCs w:val="24"/>
          <w:lang w:val="en-GB" w:eastAsia="en-GB"/>
          <w14:ligatures w14:val="none"/>
        </w:rPr>
        <w:t>Standards-Based Aggregation</w:t>
      </w:r>
      <w:r w:rsidRPr="007A1E4C">
        <w:rPr>
          <w:rFonts w:eastAsia="Times New Roman" w:cstheme="minorHAnsi"/>
          <w:kern w:val="0"/>
          <w:sz w:val="24"/>
          <w:szCs w:val="24"/>
          <w:lang w:val="en-GB" w:eastAsia="en-GB"/>
          <w14:ligatures w14:val="none"/>
        </w:rPr>
        <w:br/>
        <w:t xml:space="preserve">Compatibility with established </w:t>
      </w:r>
      <w:r w:rsidR="00AC08FA" w:rsidRPr="007A1E4C">
        <w:rPr>
          <w:rFonts w:eastAsia="Times New Roman" w:cstheme="minorHAnsi"/>
          <w:kern w:val="0"/>
          <w:sz w:val="24"/>
          <w:szCs w:val="24"/>
          <w:lang w:val="en-GB" w:eastAsia="en-GB"/>
          <w14:ligatures w14:val="none"/>
        </w:rPr>
        <w:t xml:space="preserve">harvest protocols &amp; </w:t>
      </w:r>
      <w:r w:rsidRPr="007A1E4C">
        <w:rPr>
          <w:rFonts w:eastAsia="Times New Roman" w:cstheme="minorHAnsi"/>
          <w:kern w:val="0"/>
          <w:sz w:val="24"/>
          <w:szCs w:val="24"/>
          <w:lang w:val="en-GB" w:eastAsia="en-GB"/>
          <w14:ligatures w14:val="none"/>
        </w:rPr>
        <w:t>metadata interoperability frameworks, including:</w:t>
      </w:r>
    </w:p>
    <w:p w14:paraId="29C5161C" w14:textId="77777777" w:rsidR="003F7726" w:rsidRPr="007A1E4C" w:rsidRDefault="003F7726" w:rsidP="003F7726">
      <w:pPr>
        <w:numPr>
          <w:ilvl w:val="1"/>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kern w:val="0"/>
          <w:sz w:val="24"/>
          <w:szCs w:val="24"/>
          <w:lang w:val="en-GB" w:eastAsia="en-GB"/>
          <w14:ligatures w14:val="none"/>
        </w:rPr>
        <w:t>OAI-PMH</w:t>
      </w:r>
    </w:p>
    <w:p w14:paraId="08EDEC31" w14:textId="77777777" w:rsidR="003F7726" w:rsidRPr="007A1E4C" w:rsidRDefault="003F7726" w:rsidP="003F7726">
      <w:pPr>
        <w:numPr>
          <w:ilvl w:val="1"/>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kern w:val="0"/>
          <w:sz w:val="24"/>
          <w:szCs w:val="24"/>
          <w:lang w:val="en-GB" w:eastAsia="en-GB"/>
          <w14:ligatures w14:val="none"/>
        </w:rPr>
        <w:t>Dublin Core</w:t>
      </w:r>
    </w:p>
    <w:p w14:paraId="2A8ADA3C" w14:textId="77777777" w:rsidR="003F7726" w:rsidRPr="007A1E4C" w:rsidRDefault="003F7726" w:rsidP="003F7726">
      <w:pPr>
        <w:numPr>
          <w:ilvl w:val="1"/>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kern w:val="0"/>
          <w:sz w:val="24"/>
          <w:szCs w:val="24"/>
          <w:lang w:val="en-GB" w:eastAsia="en-GB"/>
          <w14:ligatures w14:val="none"/>
        </w:rPr>
        <w:t>DataCite Metadata Schema</w:t>
      </w:r>
    </w:p>
    <w:p w14:paraId="2BE2FFBF" w14:textId="5313BB90" w:rsidR="003F7726" w:rsidRPr="007A1E4C" w:rsidRDefault="003F7726" w:rsidP="003F7726">
      <w:pPr>
        <w:numPr>
          <w:ilvl w:val="1"/>
          <w:numId w:val="19"/>
        </w:numPr>
        <w:spacing w:before="100" w:beforeAutospacing="1" w:after="100" w:afterAutospacing="1" w:line="240" w:lineRule="auto"/>
        <w:rPr>
          <w:rFonts w:eastAsia="Times New Roman" w:cstheme="minorHAnsi"/>
          <w:kern w:val="0"/>
          <w:sz w:val="24"/>
          <w:szCs w:val="24"/>
          <w:lang w:val="en-GB" w:eastAsia="en-GB"/>
          <w14:ligatures w14:val="none"/>
        </w:rPr>
      </w:pPr>
      <w:r w:rsidRPr="007A1E4C">
        <w:rPr>
          <w:rFonts w:eastAsia="Times New Roman" w:cstheme="minorHAnsi"/>
          <w:kern w:val="0"/>
          <w:sz w:val="24"/>
          <w:szCs w:val="24"/>
          <w:lang w:val="en-GB" w:eastAsia="en-GB"/>
          <w14:ligatures w14:val="none"/>
        </w:rPr>
        <w:t>Guidelines (Literature, Research Data, CRIS)</w:t>
      </w:r>
    </w:p>
    <w:p w14:paraId="3E7A14F5" w14:textId="66FDBFF5" w:rsidR="003F7726" w:rsidRPr="00E268DA" w:rsidRDefault="003F7726" w:rsidP="003F7726">
      <w:pPr>
        <w:spacing w:before="100" w:beforeAutospacing="1" w:after="100" w:afterAutospacing="1" w:line="240" w:lineRule="auto"/>
        <w:outlineLvl w:val="3"/>
        <w:rPr>
          <w:rFonts w:eastAsia="Times New Roman" w:cstheme="minorHAnsi"/>
          <w:b/>
          <w:bCs/>
          <w:kern w:val="0"/>
          <w:sz w:val="24"/>
          <w:szCs w:val="24"/>
          <w:lang w:val="en-GB" w:eastAsia="en-GB"/>
          <w14:ligatures w14:val="none"/>
        </w:rPr>
      </w:pPr>
      <w:r w:rsidRPr="00E268DA">
        <w:rPr>
          <w:rFonts w:eastAsia="Times New Roman" w:cstheme="minorHAnsi"/>
          <w:b/>
          <w:bCs/>
          <w:kern w:val="0"/>
          <w:sz w:val="24"/>
          <w:szCs w:val="24"/>
          <w:lang w:val="en-GB" w:eastAsia="en-GB"/>
          <w14:ligatures w14:val="none"/>
        </w:rPr>
        <w:t xml:space="preserve">Target </w:t>
      </w:r>
      <w:r w:rsidRPr="001C4F29">
        <w:rPr>
          <w:rFonts w:eastAsia="Times New Roman" w:cstheme="minorHAnsi"/>
          <w:b/>
          <w:bCs/>
          <w:kern w:val="0"/>
          <w:sz w:val="24"/>
          <w:szCs w:val="24"/>
          <w:lang w:val="en-GB" w:eastAsia="en-GB"/>
          <w14:ligatures w14:val="none"/>
        </w:rPr>
        <w:t xml:space="preserve">Repositories </w:t>
      </w:r>
      <w:r w:rsidR="00E268DA" w:rsidRPr="001C4F29">
        <w:rPr>
          <w:rFonts w:eastAsia="Times New Roman" w:cstheme="minorHAnsi"/>
          <w:b/>
          <w:bCs/>
          <w:kern w:val="0"/>
          <w:sz w:val="24"/>
          <w:szCs w:val="24"/>
          <w:lang w:val="en-GB" w:eastAsia="en-GB"/>
          <w14:ligatures w14:val="none"/>
        </w:rPr>
        <w:t>and software platforms</w:t>
      </w:r>
      <w:r w:rsidR="00E268DA" w:rsidRPr="00E268DA">
        <w:rPr>
          <w:rFonts w:eastAsia="Times New Roman" w:cstheme="minorHAnsi"/>
          <w:b/>
          <w:bCs/>
          <w:kern w:val="0"/>
          <w:sz w:val="24"/>
          <w:szCs w:val="24"/>
          <w:lang w:val="en-GB" w:eastAsia="en-GB"/>
          <w14:ligatures w14:val="none"/>
        </w:rPr>
        <w:t xml:space="preserve"> </w:t>
      </w:r>
      <w:r w:rsidRPr="00E268DA">
        <w:rPr>
          <w:rFonts w:eastAsia="Times New Roman" w:cstheme="minorHAnsi"/>
          <w:b/>
          <w:bCs/>
          <w:kern w:val="0"/>
          <w:sz w:val="24"/>
          <w:szCs w:val="24"/>
          <w:lang w:val="en-GB" w:eastAsia="en-GB"/>
          <w14:ligatures w14:val="none"/>
        </w:rPr>
        <w:t>(examples currently in use by alliance members):</w:t>
      </w:r>
    </w:p>
    <w:p w14:paraId="2FB0B09B" w14:textId="77777777" w:rsidR="003F7726" w:rsidRPr="00E268DA" w:rsidRDefault="003F7726" w:rsidP="00E268DA">
      <w:pPr>
        <w:numPr>
          <w:ilvl w:val="0"/>
          <w:numId w:val="14"/>
        </w:numPr>
        <w:spacing w:before="100" w:beforeAutospacing="1" w:after="100" w:afterAutospacing="1" w:line="240" w:lineRule="auto"/>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Dataverse (</w:t>
      </w:r>
      <w:hyperlink r:id="rId15" w:tgtFrame="_new" w:history="1">
        <w:r w:rsidRPr="00E268DA">
          <w:rPr>
            <w:rStyle w:val="Hypertextovodkaz"/>
            <w:rFonts w:eastAsia="Times New Roman" w:cstheme="minorHAnsi"/>
            <w:kern w:val="0"/>
            <w:sz w:val="24"/>
            <w:szCs w:val="24"/>
            <w:lang w:val="en-GB" w:eastAsia="cs-CZ"/>
            <w14:ligatures w14:val="none"/>
          </w:rPr>
          <w:t>https://dataverse.org/</w:t>
        </w:r>
      </w:hyperlink>
      <w:r w:rsidRPr="00E268DA">
        <w:rPr>
          <w:rFonts w:eastAsia="Times New Roman" w:cstheme="minorHAnsi"/>
          <w:kern w:val="0"/>
          <w:sz w:val="24"/>
          <w:szCs w:val="24"/>
          <w:lang w:val="en-GB" w:eastAsia="cs-CZ"/>
          <w14:ligatures w14:val="none"/>
        </w:rPr>
        <w:t>)</w:t>
      </w:r>
    </w:p>
    <w:p w14:paraId="2873F35E" w14:textId="77777777" w:rsidR="003F7726" w:rsidRPr="00E268DA" w:rsidRDefault="003F7726" w:rsidP="00E268DA">
      <w:pPr>
        <w:numPr>
          <w:ilvl w:val="0"/>
          <w:numId w:val="14"/>
        </w:numPr>
        <w:spacing w:before="100" w:beforeAutospacing="1" w:after="100" w:afterAutospacing="1" w:line="240" w:lineRule="auto"/>
        <w:rPr>
          <w:rFonts w:eastAsia="Times New Roman" w:cstheme="minorHAnsi"/>
          <w:kern w:val="0"/>
          <w:sz w:val="24"/>
          <w:szCs w:val="24"/>
          <w:lang w:val="it-IT" w:eastAsia="cs-CZ"/>
          <w14:ligatures w14:val="none"/>
        </w:rPr>
      </w:pPr>
      <w:r w:rsidRPr="00E268DA">
        <w:rPr>
          <w:rFonts w:eastAsia="Times New Roman" w:cstheme="minorHAnsi"/>
          <w:kern w:val="0"/>
          <w:sz w:val="24"/>
          <w:szCs w:val="24"/>
          <w:lang w:val="it-IT" w:eastAsia="cs-CZ"/>
          <w14:ligatures w14:val="none"/>
        </w:rPr>
        <w:t>Dataverse NL (</w:t>
      </w:r>
      <w:hyperlink r:id="rId16" w:tgtFrame="_new" w:history="1">
        <w:r w:rsidRPr="00E268DA">
          <w:rPr>
            <w:rStyle w:val="Hypertextovodkaz"/>
            <w:rFonts w:eastAsia="Times New Roman" w:cstheme="minorHAnsi"/>
            <w:kern w:val="0"/>
            <w:sz w:val="24"/>
            <w:szCs w:val="24"/>
            <w:lang w:val="it-IT" w:eastAsia="cs-CZ"/>
            <w14:ligatures w14:val="none"/>
          </w:rPr>
          <w:t>https://dataverse.nl/dataverse/hanze</w:t>
        </w:r>
      </w:hyperlink>
      <w:r w:rsidRPr="00E268DA">
        <w:rPr>
          <w:rFonts w:eastAsia="Times New Roman" w:cstheme="minorHAnsi"/>
          <w:kern w:val="0"/>
          <w:sz w:val="24"/>
          <w:szCs w:val="24"/>
          <w:lang w:val="it-IT" w:eastAsia="cs-CZ"/>
          <w14:ligatures w14:val="none"/>
        </w:rPr>
        <w:t>)</w:t>
      </w:r>
    </w:p>
    <w:p w14:paraId="034C1473" w14:textId="77777777" w:rsidR="003F7726" w:rsidRPr="00E268DA" w:rsidRDefault="003F7726" w:rsidP="00E268DA">
      <w:pPr>
        <w:numPr>
          <w:ilvl w:val="0"/>
          <w:numId w:val="14"/>
        </w:numPr>
        <w:spacing w:before="100" w:beforeAutospacing="1" w:after="100" w:afterAutospacing="1" w:line="240" w:lineRule="auto"/>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DSpace (</w:t>
      </w:r>
      <w:hyperlink r:id="rId17" w:tgtFrame="_new" w:history="1">
        <w:r w:rsidRPr="00E268DA">
          <w:rPr>
            <w:rStyle w:val="Hypertextovodkaz"/>
            <w:rFonts w:eastAsia="Times New Roman" w:cstheme="minorHAnsi"/>
            <w:kern w:val="0"/>
            <w:sz w:val="24"/>
            <w:szCs w:val="24"/>
            <w:lang w:val="en-GB" w:eastAsia="cs-CZ"/>
            <w14:ligatures w14:val="none"/>
          </w:rPr>
          <w:t>https://dspace.org/</w:t>
        </w:r>
      </w:hyperlink>
      <w:r w:rsidRPr="00E268DA">
        <w:rPr>
          <w:rFonts w:eastAsia="Times New Roman" w:cstheme="minorHAnsi"/>
          <w:kern w:val="0"/>
          <w:sz w:val="24"/>
          <w:szCs w:val="24"/>
          <w:lang w:val="en-GB" w:eastAsia="cs-CZ"/>
          <w14:ligatures w14:val="none"/>
        </w:rPr>
        <w:t>)</w:t>
      </w:r>
    </w:p>
    <w:p w14:paraId="18B93534" w14:textId="77777777" w:rsidR="003F7726" w:rsidRPr="00E268DA" w:rsidRDefault="003F7726" w:rsidP="00E268DA">
      <w:pPr>
        <w:numPr>
          <w:ilvl w:val="0"/>
          <w:numId w:val="14"/>
        </w:numPr>
        <w:spacing w:before="100" w:beforeAutospacing="1" w:after="100" w:afterAutospacing="1" w:line="240" w:lineRule="auto"/>
        <w:rPr>
          <w:rFonts w:eastAsia="Times New Roman" w:cstheme="minorHAnsi"/>
          <w:kern w:val="0"/>
          <w:sz w:val="24"/>
          <w:szCs w:val="24"/>
          <w:lang w:val="it-IT" w:eastAsia="cs-CZ"/>
          <w14:ligatures w14:val="none"/>
        </w:rPr>
      </w:pPr>
      <w:r w:rsidRPr="00E268DA">
        <w:rPr>
          <w:rFonts w:eastAsia="Times New Roman" w:cstheme="minorHAnsi"/>
          <w:kern w:val="0"/>
          <w:sz w:val="24"/>
          <w:szCs w:val="24"/>
          <w:lang w:val="it-IT" w:eastAsia="cs-CZ"/>
          <w14:ligatures w14:val="none"/>
        </w:rPr>
        <w:t>DiVA (</w:t>
      </w:r>
      <w:hyperlink r:id="rId18" w:tgtFrame="_new" w:history="1">
        <w:r w:rsidRPr="00E268DA">
          <w:rPr>
            <w:rStyle w:val="Hypertextovodkaz"/>
            <w:rFonts w:eastAsia="Times New Roman" w:cstheme="minorHAnsi"/>
            <w:kern w:val="0"/>
            <w:sz w:val="24"/>
            <w:szCs w:val="24"/>
            <w:lang w:val="it-IT" w:eastAsia="cs-CZ"/>
            <w14:ligatures w14:val="none"/>
          </w:rPr>
          <w:t>https://www.info.diva-portal.org/</w:t>
        </w:r>
      </w:hyperlink>
      <w:r w:rsidRPr="00E268DA">
        <w:rPr>
          <w:rFonts w:eastAsia="Times New Roman" w:cstheme="minorHAnsi"/>
          <w:kern w:val="0"/>
          <w:sz w:val="24"/>
          <w:szCs w:val="24"/>
          <w:lang w:val="it-IT" w:eastAsia="cs-CZ"/>
          <w14:ligatures w14:val="none"/>
        </w:rPr>
        <w:t>)</w:t>
      </w:r>
    </w:p>
    <w:p w14:paraId="143AD2EE" w14:textId="649FAB5A" w:rsidR="003F7726" w:rsidRPr="00E268DA" w:rsidRDefault="003F7726" w:rsidP="00E268DA">
      <w:pPr>
        <w:numPr>
          <w:ilvl w:val="0"/>
          <w:numId w:val="14"/>
        </w:numPr>
        <w:spacing w:before="100" w:beforeAutospacing="1" w:after="100" w:afterAutospacing="1" w:line="240" w:lineRule="auto"/>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DORIS – Swedish National Dataservice (</w:t>
      </w:r>
      <w:hyperlink r:id="rId19" w:tgtFrame="_new" w:history="1">
        <w:r w:rsidRPr="00E268DA">
          <w:rPr>
            <w:rStyle w:val="Hypertextovodkaz"/>
            <w:rFonts w:eastAsia="Times New Roman" w:cstheme="minorHAnsi"/>
            <w:kern w:val="0"/>
            <w:sz w:val="24"/>
            <w:szCs w:val="24"/>
            <w:lang w:val="en-GB" w:eastAsia="cs-CZ"/>
            <w14:ligatures w14:val="none"/>
          </w:rPr>
          <w:t>https://snd.se/en/doris-researchers</w:t>
        </w:r>
      </w:hyperlink>
      <w:r w:rsidRPr="00E268DA">
        <w:rPr>
          <w:rFonts w:eastAsia="Times New Roman" w:cstheme="minorHAnsi"/>
          <w:kern w:val="0"/>
          <w:sz w:val="24"/>
          <w:szCs w:val="24"/>
          <w:lang w:val="en-GB" w:eastAsia="cs-CZ"/>
          <w14:ligatures w14:val="none"/>
        </w:rPr>
        <w:t xml:space="preserve">, </w:t>
      </w:r>
      <w:hyperlink r:id="rId20" w:tgtFrame="_new" w:history="1">
        <w:r w:rsidRPr="00E268DA">
          <w:rPr>
            <w:rStyle w:val="Hypertextovodkaz"/>
            <w:rFonts w:eastAsia="Times New Roman" w:cstheme="minorHAnsi"/>
            <w:kern w:val="0"/>
            <w:sz w:val="24"/>
            <w:szCs w:val="24"/>
            <w:lang w:val="en-GB" w:eastAsia="cs-CZ"/>
            <w14:ligatures w14:val="none"/>
          </w:rPr>
          <w:t>https://researchdata.se/en</w:t>
        </w:r>
      </w:hyperlink>
      <w:r w:rsidRPr="00E268DA">
        <w:rPr>
          <w:rFonts w:eastAsia="Times New Roman" w:cstheme="minorHAnsi"/>
          <w:kern w:val="0"/>
          <w:sz w:val="24"/>
          <w:szCs w:val="24"/>
          <w:lang w:val="en-GB" w:eastAsia="cs-CZ"/>
          <w14:ligatures w14:val="none"/>
        </w:rPr>
        <w:t>)</w:t>
      </w:r>
    </w:p>
    <w:p w14:paraId="2FBAA012" w14:textId="5C7D7AC7" w:rsidR="003F7726" w:rsidRPr="00E268DA" w:rsidRDefault="003F7726" w:rsidP="00E268DA">
      <w:pPr>
        <w:numPr>
          <w:ilvl w:val="0"/>
          <w:numId w:val="14"/>
        </w:numPr>
        <w:spacing w:before="100" w:beforeAutospacing="1" w:after="100" w:afterAutospacing="1" w:line="240" w:lineRule="auto"/>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Digital Commons (</w:t>
      </w:r>
      <w:hyperlink r:id="rId21" w:tgtFrame="_new" w:history="1">
        <w:r w:rsidRPr="00E268DA">
          <w:rPr>
            <w:rStyle w:val="Hypertextovodkaz"/>
            <w:rFonts w:eastAsia="Times New Roman" w:cstheme="minorHAnsi"/>
            <w:kern w:val="0"/>
            <w:sz w:val="24"/>
            <w:szCs w:val="24"/>
            <w:lang w:val="en-GB" w:eastAsia="cs-CZ"/>
            <w14:ligatures w14:val="none"/>
          </w:rPr>
          <w:t>https://research-data.ull.es/research-data/</w:t>
        </w:r>
      </w:hyperlink>
      <w:r w:rsidRPr="00E268DA">
        <w:rPr>
          <w:rFonts w:eastAsia="Times New Roman" w:cstheme="minorHAnsi"/>
          <w:kern w:val="0"/>
          <w:sz w:val="24"/>
          <w:szCs w:val="24"/>
          <w:lang w:val="en-GB" w:eastAsia="cs-CZ"/>
          <w14:ligatures w14:val="none"/>
        </w:rPr>
        <w:t>)</w:t>
      </w:r>
    </w:p>
    <w:p w14:paraId="52B01B00" w14:textId="00D4517E" w:rsidR="00BC54CE" w:rsidRPr="001C4F29" w:rsidRDefault="00E10D07" w:rsidP="00E10D07">
      <w:pPr>
        <w:jc w:val="both"/>
        <w:rPr>
          <w:sz w:val="24"/>
          <w:szCs w:val="24"/>
          <w:lang w:val="en-GB"/>
        </w:rPr>
      </w:pPr>
      <w:r w:rsidRPr="001C4F29">
        <w:rPr>
          <w:sz w:val="24"/>
          <w:szCs w:val="24"/>
          <w:lang w:val="en-GB"/>
        </w:rPr>
        <w:lastRenderedPageBreak/>
        <w:t>The Service shall guarantee immediate, automated monthly harvesting of all repositories that already expose a standards - compliant OAI</w:t>
      </w:r>
      <w:r w:rsidRPr="001C4F29">
        <w:rPr>
          <w:rFonts w:ascii="Cambria Math" w:hAnsi="Cambria Math" w:cs="Cambria Math"/>
          <w:sz w:val="24"/>
          <w:szCs w:val="24"/>
          <w:lang w:val="en-GB"/>
        </w:rPr>
        <w:t>‑</w:t>
      </w:r>
      <w:r w:rsidRPr="001C4F29">
        <w:rPr>
          <w:sz w:val="24"/>
          <w:szCs w:val="24"/>
          <w:lang w:val="en-GB"/>
        </w:rPr>
        <w:t>PMH or equivalent interface.</w:t>
      </w:r>
      <w:r w:rsidR="00464977" w:rsidRPr="001C4F29">
        <w:rPr>
          <w:sz w:val="24"/>
          <w:szCs w:val="24"/>
          <w:lang w:val="en-GB"/>
        </w:rPr>
        <w:t xml:space="preserve"> </w:t>
      </w:r>
      <w:r w:rsidR="00BC54CE" w:rsidRPr="001C4F29">
        <w:rPr>
          <w:sz w:val="24"/>
          <w:szCs w:val="24"/>
          <w:lang w:val="en-GB"/>
        </w:rPr>
        <w:t xml:space="preserve">In cases </w:t>
      </w:r>
      <w:r w:rsidR="00464977" w:rsidRPr="001C4F29">
        <w:rPr>
          <w:sz w:val="24"/>
          <w:szCs w:val="24"/>
          <w:lang w:val="en-GB"/>
        </w:rPr>
        <w:t>that</w:t>
      </w:r>
      <w:r w:rsidR="00BC54CE" w:rsidRPr="001C4F29">
        <w:rPr>
          <w:sz w:val="24"/>
          <w:szCs w:val="24"/>
          <w:lang w:val="en-GB"/>
        </w:rPr>
        <w:t xml:space="preserve"> </w:t>
      </w:r>
      <w:r w:rsidR="00464977" w:rsidRPr="001C4F29">
        <w:rPr>
          <w:sz w:val="24"/>
          <w:szCs w:val="24"/>
          <w:lang w:val="en-GB"/>
        </w:rPr>
        <w:t xml:space="preserve">some of the </w:t>
      </w:r>
      <w:r w:rsidR="00BC54CE" w:rsidRPr="001C4F29">
        <w:rPr>
          <w:sz w:val="24"/>
          <w:szCs w:val="24"/>
          <w:lang w:val="en-GB"/>
        </w:rPr>
        <w:t xml:space="preserve">repositories </w:t>
      </w:r>
      <w:r w:rsidR="00464977" w:rsidRPr="001C4F29">
        <w:rPr>
          <w:sz w:val="24"/>
          <w:szCs w:val="24"/>
          <w:lang w:val="en-GB"/>
        </w:rPr>
        <w:t xml:space="preserve">above </w:t>
      </w:r>
      <w:r w:rsidR="00BC54CE" w:rsidRPr="001C4F29">
        <w:rPr>
          <w:sz w:val="24"/>
          <w:szCs w:val="24"/>
          <w:lang w:val="en-GB"/>
        </w:rPr>
        <w:t xml:space="preserve">have not </w:t>
      </w:r>
      <w:r w:rsidR="00464977" w:rsidRPr="001C4F29">
        <w:rPr>
          <w:sz w:val="24"/>
          <w:szCs w:val="24"/>
          <w:lang w:val="en-GB"/>
        </w:rPr>
        <w:t xml:space="preserve">meet </w:t>
      </w:r>
      <w:r w:rsidR="00BC54CE" w:rsidRPr="001C4F29">
        <w:rPr>
          <w:sz w:val="24"/>
          <w:szCs w:val="24"/>
          <w:lang w:val="en-GB"/>
        </w:rPr>
        <w:t xml:space="preserve">required standards, the Supplier will provide the following support for their future </w:t>
      </w:r>
      <w:r w:rsidR="00464977" w:rsidRPr="001C4F29">
        <w:rPr>
          <w:sz w:val="24"/>
          <w:szCs w:val="24"/>
          <w:lang w:val="en-GB"/>
        </w:rPr>
        <w:t>aggregation</w:t>
      </w:r>
      <w:r w:rsidR="00BC54CE" w:rsidRPr="001C4F29">
        <w:rPr>
          <w:sz w:val="24"/>
          <w:szCs w:val="24"/>
          <w:lang w:val="en-GB"/>
        </w:rPr>
        <w:t>:</w:t>
      </w:r>
    </w:p>
    <w:p w14:paraId="45BFE392" w14:textId="1A491988" w:rsidR="00E10D07" w:rsidRPr="001C4F29" w:rsidRDefault="00E10D07" w:rsidP="00BC54CE">
      <w:pPr>
        <w:pStyle w:val="Odstavecseseznamem"/>
        <w:numPr>
          <w:ilvl w:val="0"/>
          <w:numId w:val="20"/>
        </w:numPr>
        <w:jc w:val="both"/>
        <w:rPr>
          <w:sz w:val="24"/>
          <w:szCs w:val="24"/>
          <w:lang w:val="en-GB"/>
        </w:rPr>
      </w:pPr>
      <w:r w:rsidRPr="001C4F29">
        <w:rPr>
          <w:sz w:val="24"/>
          <w:szCs w:val="24"/>
          <w:lang w:val="en-GB"/>
        </w:rPr>
        <w:t>prepare and deliver to each repository operator a technical guideline (EN) describing the exact steps required to expose an OAI</w:t>
      </w:r>
      <w:r w:rsidRPr="001C4F29">
        <w:rPr>
          <w:rFonts w:ascii="Cambria Math" w:hAnsi="Cambria Math" w:cs="Cambria Math"/>
          <w:sz w:val="24"/>
          <w:szCs w:val="24"/>
          <w:lang w:val="en-GB"/>
        </w:rPr>
        <w:t>‑</w:t>
      </w:r>
      <w:r w:rsidRPr="001C4F29">
        <w:rPr>
          <w:sz w:val="24"/>
          <w:szCs w:val="24"/>
          <w:lang w:val="en-GB"/>
        </w:rPr>
        <w:t>PMH or REST compatible interface,</w:t>
      </w:r>
    </w:p>
    <w:p w14:paraId="6D8A2B22" w14:textId="20BCB802" w:rsidR="00E10D07" w:rsidRPr="001C4F29" w:rsidRDefault="00E10D07" w:rsidP="00BC54CE">
      <w:pPr>
        <w:pStyle w:val="Odstavecseseznamem"/>
        <w:numPr>
          <w:ilvl w:val="0"/>
          <w:numId w:val="20"/>
        </w:numPr>
        <w:jc w:val="both"/>
        <w:rPr>
          <w:sz w:val="24"/>
          <w:szCs w:val="24"/>
          <w:lang w:val="en-GB"/>
        </w:rPr>
      </w:pPr>
      <w:r w:rsidRPr="001C4F29">
        <w:rPr>
          <w:sz w:val="24"/>
          <w:szCs w:val="24"/>
          <w:lang w:val="en-GB"/>
        </w:rPr>
        <w:t>organise a webinar for repository managers explaining the requirements, with recording and slides made publicly available,</w:t>
      </w:r>
    </w:p>
    <w:p w14:paraId="68A5A20C" w14:textId="3109A222" w:rsidR="00E10D07" w:rsidRPr="001C4F29" w:rsidRDefault="00E10D07" w:rsidP="00BC54CE">
      <w:pPr>
        <w:pStyle w:val="Odstavecseseznamem"/>
        <w:numPr>
          <w:ilvl w:val="0"/>
          <w:numId w:val="20"/>
        </w:numPr>
        <w:jc w:val="both"/>
        <w:rPr>
          <w:sz w:val="24"/>
          <w:szCs w:val="24"/>
          <w:lang w:val="en-GB"/>
        </w:rPr>
      </w:pPr>
      <w:r w:rsidRPr="001C4F29">
        <w:rPr>
          <w:sz w:val="24"/>
          <w:szCs w:val="24"/>
          <w:lang w:val="en-GB"/>
        </w:rPr>
        <w:t>provide an e</w:t>
      </w:r>
      <w:r w:rsidRPr="001C4F29">
        <w:rPr>
          <w:rFonts w:ascii="Cambria Math" w:hAnsi="Cambria Math" w:cs="Cambria Math"/>
          <w:sz w:val="24"/>
          <w:szCs w:val="24"/>
          <w:lang w:val="en-GB"/>
        </w:rPr>
        <w:t>‑</w:t>
      </w:r>
      <w:r w:rsidRPr="001C4F29">
        <w:rPr>
          <w:sz w:val="24"/>
          <w:szCs w:val="24"/>
          <w:lang w:val="en-GB"/>
        </w:rPr>
        <w:t>mail Q&amp;A helpdesk,</w:t>
      </w:r>
    </w:p>
    <w:p w14:paraId="732A293F" w14:textId="77777777" w:rsidR="00B15CA0" w:rsidRPr="001C4F29" w:rsidRDefault="00E10D07" w:rsidP="004B3D43">
      <w:pPr>
        <w:pStyle w:val="Odstavecseseznamem"/>
        <w:numPr>
          <w:ilvl w:val="0"/>
          <w:numId w:val="20"/>
        </w:numPr>
        <w:jc w:val="both"/>
        <w:rPr>
          <w:sz w:val="24"/>
          <w:szCs w:val="24"/>
          <w:lang w:val="en-GB"/>
        </w:rPr>
      </w:pPr>
      <w:r w:rsidRPr="001C4F29">
        <w:rPr>
          <w:sz w:val="24"/>
          <w:szCs w:val="24"/>
          <w:lang w:val="en-GB"/>
        </w:rPr>
        <w:t>integrate any repository that becomes compliant into the regular monthly harvesting workflow,</w:t>
      </w:r>
    </w:p>
    <w:p w14:paraId="0F8EB07C" w14:textId="77777777" w:rsidR="00B15CA0" w:rsidRPr="001C4F29" w:rsidRDefault="00B15CA0" w:rsidP="004B3D43">
      <w:pPr>
        <w:pStyle w:val="Odstavecseseznamem"/>
        <w:numPr>
          <w:ilvl w:val="0"/>
          <w:numId w:val="20"/>
        </w:numPr>
        <w:jc w:val="both"/>
        <w:rPr>
          <w:sz w:val="24"/>
          <w:szCs w:val="24"/>
          <w:lang w:val="en-GB"/>
        </w:rPr>
      </w:pPr>
      <w:r w:rsidRPr="001C4F29">
        <w:rPr>
          <w:sz w:val="24"/>
          <w:szCs w:val="24"/>
        </w:rPr>
        <w:t>i</w:t>
      </w:r>
      <w:r w:rsidR="0009768E" w:rsidRPr="001C4F29">
        <w:rPr>
          <w:sz w:val="24"/>
          <w:szCs w:val="24"/>
        </w:rPr>
        <w:t>f a repository has not enabled a compliant interface, the Supplier will offer manual metadata ingestion. This service is subject to an additional fee and does not guarantee monthly updates; updates may occur on a semi-annual or annual basis, depending on the data sources‘ characteristics.</w:t>
      </w:r>
    </w:p>
    <w:p w14:paraId="6EB04A37" w14:textId="70153ED0" w:rsidR="003F7726" w:rsidRPr="00B15CA0" w:rsidRDefault="003F7726" w:rsidP="00B15CA0">
      <w:pPr>
        <w:jc w:val="both"/>
        <w:rPr>
          <w:sz w:val="24"/>
          <w:szCs w:val="24"/>
          <w:lang w:val="en-GB"/>
        </w:rPr>
      </w:pPr>
      <w:r w:rsidRPr="00B15CA0">
        <w:rPr>
          <w:sz w:val="24"/>
          <w:szCs w:val="24"/>
          <w:lang w:val="en-GB"/>
        </w:rPr>
        <w:t xml:space="preserve">The solution must ensure that research outputs from across the STARS EU Alliance are </w:t>
      </w:r>
      <w:r w:rsidRPr="00B15CA0">
        <w:rPr>
          <w:rStyle w:val="Siln"/>
          <w:b w:val="0"/>
          <w:bCs w:val="0"/>
          <w:sz w:val="24"/>
          <w:szCs w:val="24"/>
          <w:lang w:val="en-GB"/>
        </w:rPr>
        <w:t>aggregated, searchable, and openly accessible</w:t>
      </w:r>
      <w:r w:rsidRPr="00B15CA0">
        <w:rPr>
          <w:sz w:val="24"/>
          <w:szCs w:val="24"/>
          <w:lang w:val="en-GB"/>
        </w:rPr>
        <w:t xml:space="preserve"> through a centralised interface, enabling </w:t>
      </w:r>
      <w:r w:rsidRPr="00B15CA0">
        <w:rPr>
          <w:rStyle w:val="Siln"/>
          <w:b w:val="0"/>
          <w:bCs w:val="0"/>
          <w:sz w:val="24"/>
          <w:szCs w:val="24"/>
          <w:lang w:val="en-GB"/>
        </w:rPr>
        <w:t>transparent monitoring, policy compliance tracking, and collaborative visibility</w:t>
      </w:r>
      <w:r w:rsidRPr="00B15CA0">
        <w:rPr>
          <w:sz w:val="24"/>
          <w:szCs w:val="24"/>
          <w:lang w:val="en-GB"/>
        </w:rPr>
        <w:t xml:space="preserve"> across member institutions.</w:t>
      </w:r>
    </w:p>
    <w:p w14:paraId="77C48C22" w14:textId="6C46F8E1" w:rsidR="00FE34FE" w:rsidRPr="00E268DA" w:rsidRDefault="00FE34FE" w:rsidP="00FE34FE">
      <w:pPr>
        <w:spacing w:before="100" w:beforeAutospacing="1" w:after="100" w:afterAutospacing="1" w:line="240" w:lineRule="auto"/>
        <w:jc w:val="both"/>
        <w:outlineLvl w:val="1"/>
        <w:rPr>
          <w:rFonts w:eastAsia="Times New Roman" w:cstheme="minorHAnsi"/>
          <w:b/>
          <w:bCs/>
          <w:kern w:val="0"/>
          <w:sz w:val="36"/>
          <w:szCs w:val="36"/>
          <w:lang w:val="en-GB" w:eastAsia="cs-CZ"/>
          <w14:ligatures w14:val="none"/>
        </w:rPr>
      </w:pPr>
      <w:r w:rsidRPr="00E268DA">
        <w:rPr>
          <w:rFonts w:eastAsia="Times New Roman" w:cstheme="minorHAnsi"/>
          <w:b/>
          <w:bCs/>
          <w:kern w:val="0"/>
          <w:sz w:val="36"/>
          <w:szCs w:val="36"/>
          <w:lang w:val="en-GB" w:eastAsia="cs-CZ"/>
          <w14:ligatures w14:val="none"/>
        </w:rPr>
        <w:t>4. Duration of performance</w:t>
      </w:r>
    </w:p>
    <w:p w14:paraId="4CA5971C" w14:textId="220379C3" w:rsidR="00CF0D2A" w:rsidRPr="00E268DA" w:rsidRDefault="00FE34FE" w:rsidP="2CC788E0">
      <w:pPr>
        <w:spacing w:before="100" w:beforeAutospacing="1" w:after="100" w:afterAutospacing="1" w:line="240" w:lineRule="auto"/>
        <w:jc w:val="both"/>
        <w:rPr>
          <w:rFonts w:eastAsia="Times New Roman"/>
          <w:kern w:val="0"/>
          <w:sz w:val="24"/>
          <w:szCs w:val="24"/>
          <w:lang w:val="en-GB" w:eastAsia="cs-CZ"/>
          <w14:ligatures w14:val="none"/>
        </w:rPr>
      </w:pPr>
      <w:r w:rsidRPr="00E268DA">
        <w:rPr>
          <w:rFonts w:eastAsia="Times New Roman"/>
          <w:kern w:val="0"/>
          <w:sz w:val="24"/>
          <w:szCs w:val="24"/>
          <w:lang w:val="en-GB" w:eastAsia="cs-CZ"/>
          <w14:ligatures w14:val="none"/>
        </w:rPr>
        <w:t xml:space="preserve">The performance of the public contract will be for a definite period of time, from the effective date of the contract until 31 October 2027. </w:t>
      </w:r>
    </w:p>
    <w:p w14:paraId="45BB0CD9" w14:textId="77777777" w:rsidR="00CF0D2A" w:rsidRPr="00E268DA" w:rsidRDefault="00FE34FE" w:rsidP="2CC788E0">
      <w:pPr>
        <w:spacing w:before="100" w:beforeAutospacing="1" w:after="100" w:afterAutospacing="1" w:line="240" w:lineRule="auto"/>
        <w:jc w:val="both"/>
        <w:rPr>
          <w:rFonts w:eastAsia="Times New Roman"/>
          <w:kern w:val="0"/>
          <w:sz w:val="24"/>
          <w:szCs w:val="24"/>
          <w:lang w:val="en-GB" w:eastAsia="cs-CZ"/>
          <w14:ligatures w14:val="none"/>
        </w:rPr>
      </w:pPr>
      <w:r w:rsidRPr="00E268DA">
        <w:rPr>
          <w:rFonts w:eastAsia="Times New Roman"/>
          <w:kern w:val="0"/>
          <w:sz w:val="24"/>
          <w:szCs w:val="24"/>
          <w:lang w:val="en-GB" w:eastAsia="cs-CZ"/>
          <w14:ligatures w14:val="none"/>
        </w:rPr>
        <w:t>The performance will include:</w:t>
      </w:r>
    </w:p>
    <w:p w14:paraId="611A40D5" w14:textId="1098225D" w:rsidR="00CF0D2A" w:rsidRPr="00E268DA" w:rsidRDefault="00DD61B3" w:rsidP="4BF5036B">
      <w:pPr>
        <w:pStyle w:val="Odstavecseseznamem"/>
        <w:numPr>
          <w:ilvl w:val="0"/>
          <w:numId w:val="12"/>
        </w:numPr>
        <w:spacing w:before="100" w:beforeAutospacing="1" w:after="100" w:afterAutospacing="1" w:line="240" w:lineRule="auto"/>
        <w:jc w:val="both"/>
        <w:rPr>
          <w:rFonts w:eastAsia="Times New Roman"/>
          <w:kern w:val="0"/>
          <w:sz w:val="24"/>
          <w:szCs w:val="24"/>
          <w:lang w:val="en-GB" w:eastAsia="cs-CZ"/>
          <w14:ligatures w14:val="none"/>
        </w:rPr>
      </w:pPr>
      <w:r w:rsidRPr="00E268DA">
        <w:rPr>
          <w:rFonts w:eastAsia="Times New Roman"/>
          <w:kern w:val="0"/>
          <w:sz w:val="24"/>
          <w:szCs w:val="24"/>
          <w:lang w:val="en-GB" w:eastAsia="cs-CZ"/>
          <w14:ligatures w14:val="none"/>
        </w:rPr>
        <w:t xml:space="preserve">activation of the service within 5 days of the effective date of the contract, </w:t>
      </w:r>
    </w:p>
    <w:p w14:paraId="036C6DBA" w14:textId="77777777" w:rsidR="00CF0D2A" w:rsidRPr="00E268DA" w:rsidRDefault="00FE34FE" w:rsidP="00CF0D2A">
      <w:pPr>
        <w:pStyle w:val="Odstavecseseznamem"/>
        <w:numPr>
          <w:ilvl w:val="0"/>
          <w:numId w:val="12"/>
        </w:numPr>
        <w:spacing w:before="100" w:beforeAutospacing="1" w:after="100" w:afterAutospacing="1" w:line="240" w:lineRule="auto"/>
        <w:jc w:val="both"/>
        <w:rPr>
          <w:rFonts w:eastAsia="Times New Roman"/>
          <w:kern w:val="0"/>
          <w:sz w:val="24"/>
          <w:szCs w:val="24"/>
          <w:lang w:val="en-GB" w:eastAsia="cs-CZ"/>
          <w14:ligatures w14:val="none"/>
        </w:rPr>
      </w:pPr>
      <w:r w:rsidRPr="00E268DA">
        <w:rPr>
          <w:rFonts w:eastAsia="Times New Roman"/>
          <w:kern w:val="0"/>
          <w:sz w:val="24"/>
          <w:szCs w:val="24"/>
          <w:lang w:val="en-GB" w:eastAsia="cs-CZ"/>
          <w14:ligatures w14:val="none"/>
        </w:rPr>
        <w:t xml:space="preserve">initial testing phase (pilot operation) – 60 days from service activation, </w:t>
      </w:r>
    </w:p>
    <w:p w14:paraId="01CC533D" w14:textId="376AFEAF" w:rsidR="003C459D" w:rsidRPr="00E268DA" w:rsidRDefault="009B1A87" w:rsidP="4BF5036B">
      <w:pPr>
        <w:pStyle w:val="Odstavecseseznamem"/>
        <w:numPr>
          <w:ilvl w:val="0"/>
          <w:numId w:val="12"/>
        </w:numPr>
        <w:spacing w:before="100" w:beforeAutospacing="1" w:after="100" w:afterAutospacing="1" w:line="240" w:lineRule="auto"/>
        <w:jc w:val="both"/>
        <w:rPr>
          <w:rFonts w:eastAsia="Times New Roman"/>
          <w:kern w:val="0"/>
          <w:sz w:val="24"/>
          <w:szCs w:val="24"/>
          <w:lang w:val="en-GB" w:eastAsia="cs-CZ"/>
          <w14:ligatures w14:val="none"/>
        </w:rPr>
      </w:pPr>
      <w:r w:rsidRPr="00E268DA">
        <w:rPr>
          <w:rFonts w:eastAsia="Times New Roman"/>
          <w:kern w:val="0"/>
          <w:sz w:val="24"/>
          <w:szCs w:val="24"/>
          <w:lang w:val="en-GB" w:eastAsia="cs-CZ"/>
          <w14:ligatures w14:val="none"/>
        </w:rPr>
        <w:t>during the testing phase of online user training (approx. 10 people for each alliance partner</w:t>
      </w:r>
      <w:r w:rsidR="003B09B0" w:rsidRPr="00E268DA">
        <w:rPr>
          <w:rFonts w:eastAsia="Times New Roman"/>
          <w:kern w:val="0"/>
          <w:sz w:val="24"/>
          <w:szCs w:val="24"/>
          <w:lang w:val="en-GB" w:eastAsia="cs-CZ"/>
          <w14:ligatures w14:val="none"/>
        </w:rPr>
        <w:t>) in the range of at least 10 hours,</w:t>
      </w:r>
    </w:p>
    <w:p w14:paraId="38CA7F25" w14:textId="618ADEF7" w:rsidR="00FE34FE" w:rsidRPr="00E268DA" w:rsidRDefault="00FE34FE" w:rsidP="00E268DA">
      <w:pPr>
        <w:pStyle w:val="Odstavecseseznamem"/>
        <w:numPr>
          <w:ilvl w:val="0"/>
          <w:numId w:val="12"/>
        </w:numPr>
        <w:spacing w:before="100" w:beforeAutospacing="1" w:after="100" w:afterAutospacing="1" w:line="240" w:lineRule="auto"/>
        <w:jc w:val="both"/>
        <w:rPr>
          <w:rFonts w:eastAsia="Times New Roman" w:cstheme="minorHAnsi"/>
          <w:kern w:val="0"/>
          <w:sz w:val="24"/>
          <w:szCs w:val="24"/>
          <w:lang w:val="en-GB" w:eastAsia="cs-CZ"/>
          <w14:ligatures w14:val="none"/>
        </w:rPr>
      </w:pPr>
      <w:r w:rsidRPr="00E268DA">
        <w:rPr>
          <w:rFonts w:eastAsia="Times New Roman"/>
          <w:kern w:val="0"/>
          <w:sz w:val="24"/>
          <w:szCs w:val="24"/>
          <w:lang w:val="en-GB" w:eastAsia="cs-CZ"/>
          <w14:ligatures w14:val="none"/>
        </w:rPr>
        <w:t>Production deployment immediately after the end of the testing phase.</w:t>
      </w:r>
    </w:p>
    <w:p w14:paraId="4B7C7BC4" w14:textId="77777777" w:rsidR="00FE34FE" w:rsidRPr="00E268DA" w:rsidRDefault="00FE34FE" w:rsidP="00FE34FE">
      <w:pPr>
        <w:spacing w:before="100" w:beforeAutospacing="1" w:after="100" w:afterAutospacing="1" w:line="240" w:lineRule="auto"/>
        <w:jc w:val="both"/>
        <w:outlineLvl w:val="1"/>
        <w:rPr>
          <w:rFonts w:eastAsia="Times New Roman" w:cstheme="minorHAnsi"/>
          <w:b/>
          <w:bCs/>
          <w:kern w:val="0"/>
          <w:sz w:val="36"/>
          <w:szCs w:val="36"/>
          <w:lang w:val="en-GB" w:eastAsia="cs-CZ"/>
          <w14:ligatures w14:val="none"/>
        </w:rPr>
      </w:pPr>
      <w:r w:rsidRPr="00E268DA">
        <w:rPr>
          <w:rFonts w:eastAsia="Times New Roman" w:cstheme="minorHAnsi"/>
          <w:b/>
          <w:bCs/>
          <w:kern w:val="0"/>
          <w:sz w:val="36"/>
          <w:szCs w:val="36"/>
          <w:lang w:val="en-GB" w:eastAsia="cs-CZ"/>
          <w14:ligatures w14:val="none"/>
        </w:rPr>
        <w:t>5. Service and Support</w:t>
      </w:r>
    </w:p>
    <w:p w14:paraId="01A4F96E" w14:textId="77777777" w:rsidR="00FE34FE" w:rsidRPr="00E268DA" w:rsidRDefault="00FE34FE" w:rsidP="00B15CA0">
      <w:pPr>
        <w:numPr>
          <w:ilvl w:val="0"/>
          <w:numId w:val="11"/>
        </w:numPr>
        <w:spacing w:before="100" w:beforeAutospacing="1" w:after="100" w:afterAutospacing="1" w:line="276" w:lineRule="auto"/>
        <w:jc w:val="both"/>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ensuring operation, including maintenance, backups and updates,</w:t>
      </w:r>
    </w:p>
    <w:p w14:paraId="3101A1AA" w14:textId="77777777" w:rsidR="00FE34FE" w:rsidRPr="00E268DA" w:rsidRDefault="00FE34FE" w:rsidP="00B15CA0">
      <w:pPr>
        <w:numPr>
          <w:ilvl w:val="0"/>
          <w:numId w:val="11"/>
        </w:numPr>
        <w:spacing w:before="100" w:beforeAutospacing="1" w:after="100" w:afterAutospacing="1" w:line="276" w:lineRule="auto"/>
        <w:jc w:val="both"/>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guaranteed service availability of at least 99.9% outside of planned maintenance,</w:t>
      </w:r>
    </w:p>
    <w:p w14:paraId="26A3D326" w14:textId="77777777" w:rsidR="00FE34FE" w:rsidRPr="00E268DA" w:rsidRDefault="00FE34FE" w:rsidP="00B15CA0">
      <w:pPr>
        <w:numPr>
          <w:ilvl w:val="0"/>
          <w:numId w:val="11"/>
        </w:numPr>
        <w:spacing w:before="100" w:beforeAutospacing="1" w:after="100" w:afterAutospacing="1" w:line="276" w:lineRule="auto"/>
        <w:jc w:val="both"/>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Access to user support with a maximum response time of 48 hours.</w:t>
      </w:r>
    </w:p>
    <w:p w14:paraId="75E8165B" w14:textId="72775EDE" w:rsidR="00FE34FE" w:rsidRPr="00E268DA" w:rsidRDefault="00FE34FE" w:rsidP="00B15CA0">
      <w:pPr>
        <w:numPr>
          <w:ilvl w:val="0"/>
          <w:numId w:val="11"/>
        </w:numPr>
        <w:spacing w:before="100" w:beforeAutospacing="1" w:after="100" w:afterAutospacing="1" w:line="276" w:lineRule="auto"/>
        <w:jc w:val="both"/>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training and onboarding of users of all alliance partners in the range of min. 10 hours,</w:t>
      </w:r>
    </w:p>
    <w:p w14:paraId="63AE966F" w14:textId="77777777" w:rsidR="00FE34FE" w:rsidRPr="00E268DA" w:rsidRDefault="00FE34FE" w:rsidP="00B15CA0">
      <w:pPr>
        <w:numPr>
          <w:ilvl w:val="0"/>
          <w:numId w:val="11"/>
        </w:numPr>
        <w:spacing w:before="100" w:beforeAutospacing="1" w:after="100" w:afterAutospacing="1" w:line="276" w:lineRule="auto"/>
        <w:jc w:val="both"/>
        <w:rPr>
          <w:rFonts w:eastAsia="Times New Roman" w:cstheme="minorHAnsi"/>
          <w:kern w:val="0"/>
          <w:sz w:val="24"/>
          <w:szCs w:val="24"/>
          <w:lang w:val="en-GB" w:eastAsia="cs-CZ"/>
          <w14:ligatures w14:val="none"/>
        </w:rPr>
      </w:pPr>
      <w:r w:rsidRPr="00E268DA">
        <w:rPr>
          <w:rFonts w:eastAsia="Times New Roman" w:cstheme="minorHAnsi"/>
          <w:kern w:val="0"/>
          <w:sz w:val="24"/>
          <w:szCs w:val="24"/>
          <w:lang w:val="en-GB" w:eastAsia="cs-CZ"/>
          <w14:ligatures w14:val="none"/>
        </w:rPr>
        <w:t>the ability to export all data after the end of the service,</w:t>
      </w:r>
    </w:p>
    <w:p w14:paraId="68422C15" w14:textId="0F2F88AF" w:rsidR="00F677E3" w:rsidRPr="00B15CA0" w:rsidRDefault="00FE34FE" w:rsidP="00E440FA">
      <w:pPr>
        <w:numPr>
          <w:ilvl w:val="0"/>
          <w:numId w:val="11"/>
        </w:numPr>
        <w:spacing w:before="100" w:beforeAutospacing="1" w:after="0" w:afterAutospacing="1" w:line="240" w:lineRule="auto"/>
        <w:jc w:val="both"/>
        <w:rPr>
          <w:rFonts w:eastAsia="Times New Roman" w:cstheme="minorHAnsi"/>
          <w:kern w:val="0"/>
          <w:sz w:val="24"/>
          <w:szCs w:val="24"/>
          <w:lang w:val="en-GB" w:eastAsia="cs-CZ"/>
          <w14:ligatures w14:val="none"/>
        </w:rPr>
      </w:pPr>
      <w:r w:rsidRPr="00B15CA0">
        <w:rPr>
          <w:rFonts w:eastAsia="Times New Roman" w:cstheme="minorHAnsi"/>
          <w:kern w:val="0"/>
          <w:sz w:val="24"/>
          <w:szCs w:val="24"/>
          <w:lang w:val="en-GB" w:eastAsia="cs-CZ"/>
          <w14:ligatures w14:val="none"/>
        </w:rPr>
        <w:t>Retention of data after the end of the service for at least 90 days.</w:t>
      </w:r>
    </w:p>
    <w:sectPr w:rsidR="00F677E3" w:rsidRPr="00B15CA0" w:rsidSect="008424FE">
      <w:head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6D89" w14:textId="77777777" w:rsidR="00C30DAA" w:rsidRDefault="00C30DAA" w:rsidP="00B80447">
      <w:pPr>
        <w:spacing w:after="0" w:line="240" w:lineRule="auto"/>
      </w:pPr>
      <w:r>
        <w:separator/>
      </w:r>
    </w:p>
  </w:endnote>
  <w:endnote w:type="continuationSeparator" w:id="0">
    <w:p w14:paraId="15F94BE7" w14:textId="77777777" w:rsidR="00C30DAA" w:rsidRDefault="00C30DAA" w:rsidP="00B8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0944" w14:textId="77777777" w:rsidR="00C30DAA" w:rsidRDefault="00C30DAA" w:rsidP="00B80447">
      <w:pPr>
        <w:spacing w:after="0" w:line="240" w:lineRule="auto"/>
      </w:pPr>
      <w:r>
        <w:separator/>
      </w:r>
    </w:p>
  </w:footnote>
  <w:footnote w:type="continuationSeparator" w:id="0">
    <w:p w14:paraId="105A12C3" w14:textId="77777777" w:rsidR="00C30DAA" w:rsidRDefault="00C30DAA" w:rsidP="00B8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B587" w14:textId="77777777" w:rsidR="00B80447" w:rsidRDefault="00B80447">
    <w:pPr>
      <w:pStyle w:val="Zhlav"/>
    </w:pPr>
  </w:p>
  <w:p w14:paraId="42BE6BEF" w14:textId="77777777" w:rsidR="00B80447" w:rsidRDefault="00B80447">
    <w:pPr>
      <w:pStyle w:val="Zhlav"/>
    </w:pPr>
  </w:p>
  <w:p w14:paraId="62CF5504" w14:textId="3D7495F9" w:rsidR="00B80447" w:rsidRDefault="00B804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AACC" w14:textId="10C9BA4D" w:rsidR="00471488" w:rsidRDefault="00CF0055">
    <w:pPr>
      <w:pStyle w:val="Zhlav"/>
    </w:pPr>
    <w:r w:rsidRPr="00436207">
      <w:rPr>
        <w:rFonts w:ascii="Times New Roman" w:eastAsia="Times New Roman" w:hAnsi="Times New Roman" w:cs="Times New Roman"/>
        <w:noProof/>
        <w:sz w:val="24"/>
        <w:szCs w:val="24"/>
        <w:lang w:eastAsia="cs-CZ"/>
      </w:rPr>
      <w:drawing>
        <wp:inline distT="0" distB="0" distL="0" distR="0" wp14:anchorId="66A78A34" wp14:editId="446DCA54">
          <wp:extent cx="3558857" cy="504093"/>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1915" cy="539937"/>
                  </a:xfrm>
                  <a:prstGeom prst="rect">
                    <a:avLst/>
                  </a:prstGeom>
                  <a:noFill/>
                  <a:ln>
                    <a:noFill/>
                  </a:ln>
                </pic:spPr>
              </pic:pic>
            </a:graphicData>
          </a:graphic>
        </wp:inline>
      </w:drawing>
    </w:r>
    <w:r w:rsidR="00471488">
      <w:t xml:space="preserve">      </w:t>
    </w:r>
    <w:r w:rsidR="008424FE">
      <w:t xml:space="preserve">   </w:t>
    </w:r>
    <w:r w:rsidR="007C066A">
      <w:rPr>
        <w:noProof/>
      </w:rPr>
      <w:drawing>
        <wp:inline distT="0" distB="0" distL="0" distR="0" wp14:anchorId="005682C8" wp14:editId="11E3E66F">
          <wp:extent cx="1570892" cy="121505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0892" cy="12150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3F6"/>
    <w:multiLevelType w:val="multilevel"/>
    <w:tmpl w:val="CC06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B0855"/>
    <w:multiLevelType w:val="multilevel"/>
    <w:tmpl w:val="B20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0739F"/>
    <w:multiLevelType w:val="multilevel"/>
    <w:tmpl w:val="C3DE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1F80"/>
    <w:multiLevelType w:val="hybridMultilevel"/>
    <w:tmpl w:val="6D003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D43C6"/>
    <w:multiLevelType w:val="multilevel"/>
    <w:tmpl w:val="94E6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86ED3"/>
    <w:multiLevelType w:val="multilevel"/>
    <w:tmpl w:val="DB80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6155A"/>
    <w:multiLevelType w:val="multilevel"/>
    <w:tmpl w:val="90F2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22C61"/>
    <w:multiLevelType w:val="multilevel"/>
    <w:tmpl w:val="6890D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37D4D"/>
    <w:multiLevelType w:val="multilevel"/>
    <w:tmpl w:val="7B10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82EBB"/>
    <w:multiLevelType w:val="hybridMultilevel"/>
    <w:tmpl w:val="0FDE2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DD4DAD"/>
    <w:multiLevelType w:val="multilevel"/>
    <w:tmpl w:val="62FE0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F2718"/>
    <w:multiLevelType w:val="hybridMultilevel"/>
    <w:tmpl w:val="1FFC8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12523"/>
    <w:multiLevelType w:val="multilevel"/>
    <w:tmpl w:val="D2EC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F5D25"/>
    <w:multiLevelType w:val="multilevel"/>
    <w:tmpl w:val="191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60036"/>
    <w:multiLevelType w:val="multilevel"/>
    <w:tmpl w:val="A532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D30BA"/>
    <w:multiLevelType w:val="multilevel"/>
    <w:tmpl w:val="336A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65A69"/>
    <w:multiLevelType w:val="multilevel"/>
    <w:tmpl w:val="617E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03ED6"/>
    <w:multiLevelType w:val="multilevel"/>
    <w:tmpl w:val="AE8A5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50914"/>
    <w:multiLevelType w:val="multilevel"/>
    <w:tmpl w:val="00CE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93543"/>
    <w:multiLevelType w:val="hybridMultilevel"/>
    <w:tmpl w:val="35460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16"/>
  </w:num>
  <w:num w:numId="5">
    <w:abstractNumId w:val="0"/>
  </w:num>
  <w:num w:numId="6">
    <w:abstractNumId w:val="12"/>
  </w:num>
  <w:num w:numId="7">
    <w:abstractNumId w:val="6"/>
  </w:num>
  <w:num w:numId="8">
    <w:abstractNumId w:val="4"/>
  </w:num>
  <w:num w:numId="9">
    <w:abstractNumId w:val="18"/>
  </w:num>
  <w:num w:numId="10">
    <w:abstractNumId w:val="7"/>
  </w:num>
  <w:num w:numId="11">
    <w:abstractNumId w:val="15"/>
  </w:num>
  <w:num w:numId="12">
    <w:abstractNumId w:val="19"/>
  </w:num>
  <w:num w:numId="13">
    <w:abstractNumId w:val="14"/>
  </w:num>
  <w:num w:numId="14">
    <w:abstractNumId w:val="13"/>
  </w:num>
  <w:num w:numId="15">
    <w:abstractNumId w:val="10"/>
  </w:num>
  <w:num w:numId="16">
    <w:abstractNumId w:val="11"/>
  </w:num>
  <w:num w:numId="17">
    <w:abstractNumId w:val="5"/>
  </w:num>
  <w:num w:numId="18">
    <w:abstractNumId w:val="3"/>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FE"/>
    <w:rsid w:val="00006E86"/>
    <w:rsid w:val="00022ED8"/>
    <w:rsid w:val="0004117E"/>
    <w:rsid w:val="00080D9B"/>
    <w:rsid w:val="0009768E"/>
    <w:rsid w:val="000A6A98"/>
    <w:rsid w:val="000B2FEC"/>
    <w:rsid w:val="000B6964"/>
    <w:rsid w:val="000D706D"/>
    <w:rsid w:val="00107350"/>
    <w:rsid w:val="00112DA0"/>
    <w:rsid w:val="00143ED4"/>
    <w:rsid w:val="00147C41"/>
    <w:rsid w:val="001503F9"/>
    <w:rsid w:val="001544B1"/>
    <w:rsid w:val="0015626E"/>
    <w:rsid w:val="00166904"/>
    <w:rsid w:val="001C3C46"/>
    <w:rsid w:val="001C4F29"/>
    <w:rsid w:val="001D7107"/>
    <w:rsid w:val="001D736B"/>
    <w:rsid w:val="0020751C"/>
    <w:rsid w:val="00223991"/>
    <w:rsid w:val="00223FA1"/>
    <w:rsid w:val="00227BC2"/>
    <w:rsid w:val="00231F0C"/>
    <w:rsid w:val="00247B8B"/>
    <w:rsid w:val="002844FA"/>
    <w:rsid w:val="00284D8B"/>
    <w:rsid w:val="002965EA"/>
    <w:rsid w:val="002C16FB"/>
    <w:rsid w:val="002F759E"/>
    <w:rsid w:val="00342EDD"/>
    <w:rsid w:val="00377B35"/>
    <w:rsid w:val="00382882"/>
    <w:rsid w:val="00387E21"/>
    <w:rsid w:val="00390823"/>
    <w:rsid w:val="003B09B0"/>
    <w:rsid w:val="003C459D"/>
    <w:rsid w:val="003D1BB8"/>
    <w:rsid w:val="003F4F46"/>
    <w:rsid w:val="003F534F"/>
    <w:rsid w:val="003F7726"/>
    <w:rsid w:val="00422A1C"/>
    <w:rsid w:val="004334CE"/>
    <w:rsid w:val="00451590"/>
    <w:rsid w:val="004537D8"/>
    <w:rsid w:val="00464977"/>
    <w:rsid w:val="00471488"/>
    <w:rsid w:val="00475117"/>
    <w:rsid w:val="00476CC3"/>
    <w:rsid w:val="00482F18"/>
    <w:rsid w:val="00493833"/>
    <w:rsid w:val="00496098"/>
    <w:rsid w:val="004A7722"/>
    <w:rsid w:val="004D7B71"/>
    <w:rsid w:val="004E3AA8"/>
    <w:rsid w:val="004F4101"/>
    <w:rsid w:val="00504DD9"/>
    <w:rsid w:val="00504EC0"/>
    <w:rsid w:val="00530485"/>
    <w:rsid w:val="005424F3"/>
    <w:rsid w:val="00546DB8"/>
    <w:rsid w:val="00560B03"/>
    <w:rsid w:val="00565305"/>
    <w:rsid w:val="00583C6C"/>
    <w:rsid w:val="005A4AB0"/>
    <w:rsid w:val="005D2385"/>
    <w:rsid w:val="005D27C5"/>
    <w:rsid w:val="005E5028"/>
    <w:rsid w:val="00623060"/>
    <w:rsid w:val="006374CB"/>
    <w:rsid w:val="00661CD2"/>
    <w:rsid w:val="00671FC5"/>
    <w:rsid w:val="006853BB"/>
    <w:rsid w:val="00692E10"/>
    <w:rsid w:val="006966AA"/>
    <w:rsid w:val="006B5E45"/>
    <w:rsid w:val="006B65CA"/>
    <w:rsid w:val="006C5502"/>
    <w:rsid w:val="006E18DD"/>
    <w:rsid w:val="007150EC"/>
    <w:rsid w:val="00761E57"/>
    <w:rsid w:val="0079037B"/>
    <w:rsid w:val="007924DB"/>
    <w:rsid w:val="007957FD"/>
    <w:rsid w:val="00795F61"/>
    <w:rsid w:val="007A0541"/>
    <w:rsid w:val="007A1E4C"/>
    <w:rsid w:val="007B1285"/>
    <w:rsid w:val="007B2EAA"/>
    <w:rsid w:val="007C066A"/>
    <w:rsid w:val="007D4BE3"/>
    <w:rsid w:val="007F1684"/>
    <w:rsid w:val="008424FE"/>
    <w:rsid w:val="0085510D"/>
    <w:rsid w:val="00860CD5"/>
    <w:rsid w:val="00872F73"/>
    <w:rsid w:val="0088316D"/>
    <w:rsid w:val="00894146"/>
    <w:rsid w:val="00894625"/>
    <w:rsid w:val="008A3A3E"/>
    <w:rsid w:val="008A729C"/>
    <w:rsid w:val="008B5453"/>
    <w:rsid w:val="008B7328"/>
    <w:rsid w:val="008C4A9C"/>
    <w:rsid w:val="008E1635"/>
    <w:rsid w:val="008F39B4"/>
    <w:rsid w:val="00907FD6"/>
    <w:rsid w:val="009213BC"/>
    <w:rsid w:val="00967B91"/>
    <w:rsid w:val="009B1A87"/>
    <w:rsid w:val="009C7A75"/>
    <w:rsid w:val="009E255E"/>
    <w:rsid w:val="009E6EF1"/>
    <w:rsid w:val="00A00DF4"/>
    <w:rsid w:val="00A0739D"/>
    <w:rsid w:val="00A44E16"/>
    <w:rsid w:val="00A45FD1"/>
    <w:rsid w:val="00A6036F"/>
    <w:rsid w:val="00AB1B53"/>
    <w:rsid w:val="00AC08FA"/>
    <w:rsid w:val="00AC13BE"/>
    <w:rsid w:val="00AD5F6A"/>
    <w:rsid w:val="00AE0F5B"/>
    <w:rsid w:val="00AF222C"/>
    <w:rsid w:val="00B07085"/>
    <w:rsid w:val="00B15CA0"/>
    <w:rsid w:val="00B34F22"/>
    <w:rsid w:val="00B41812"/>
    <w:rsid w:val="00B8021F"/>
    <w:rsid w:val="00B80447"/>
    <w:rsid w:val="00B94906"/>
    <w:rsid w:val="00BA33A0"/>
    <w:rsid w:val="00BA672A"/>
    <w:rsid w:val="00BC1BD9"/>
    <w:rsid w:val="00BC510D"/>
    <w:rsid w:val="00BC54CE"/>
    <w:rsid w:val="00BD6034"/>
    <w:rsid w:val="00BE1DF8"/>
    <w:rsid w:val="00BF2354"/>
    <w:rsid w:val="00C01FB6"/>
    <w:rsid w:val="00C02AFA"/>
    <w:rsid w:val="00C30DAA"/>
    <w:rsid w:val="00C53055"/>
    <w:rsid w:val="00C53B47"/>
    <w:rsid w:val="00C6160F"/>
    <w:rsid w:val="00C6219D"/>
    <w:rsid w:val="00C94CEA"/>
    <w:rsid w:val="00CB2118"/>
    <w:rsid w:val="00CB3CC5"/>
    <w:rsid w:val="00CC49DA"/>
    <w:rsid w:val="00CC4C60"/>
    <w:rsid w:val="00CF0055"/>
    <w:rsid w:val="00CF0D2A"/>
    <w:rsid w:val="00CF5906"/>
    <w:rsid w:val="00CF6602"/>
    <w:rsid w:val="00D07685"/>
    <w:rsid w:val="00D20860"/>
    <w:rsid w:val="00D410F6"/>
    <w:rsid w:val="00DB3A77"/>
    <w:rsid w:val="00DD61B3"/>
    <w:rsid w:val="00DF39B5"/>
    <w:rsid w:val="00DF4FF5"/>
    <w:rsid w:val="00E04EDD"/>
    <w:rsid w:val="00E05E17"/>
    <w:rsid w:val="00E0690E"/>
    <w:rsid w:val="00E10D07"/>
    <w:rsid w:val="00E15BC9"/>
    <w:rsid w:val="00E268DA"/>
    <w:rsid w:val="00E40C01"/>
    <w:rsid w:val="00E7434E"/>
    <w:rsid w:val="00EA7592"/>
    <w:rsid w:val="00EB015A"/>
    <w:rsid w:val="00EF7CE1"/>
    <w:rsid w:val="00F5363D"/>
    <w:rsid w:val="00F677E3"/>
    <w:rsid w:val="00F73FA5"/>
    <w:rsid w:val="00F772EB"/>
    <w:rsid w:val="00F85715"/>
    <w:rsid w:val="00F90DA8"/>
    <w:rsid w:val="00FA0590"/>
    <w:rsid w:val="00FB24E9"/>
    <w:rsid w:val="00FB4583"/>
    <w:rsid w:val="00FC5BD6"/>
    <w:rsid w:val="00FD2DB1"/>
    <w:rsid w:val="00FE2838"/>
    <w:rsid w:val="00FE34FE"/>
    <w:rsid w:val="01E08424"/>
    <w:rsid w:val="0B67AFCB"/>
    <w:rsid w:val="0B7FB2ED"/>
    <w:rsid w:val="12D20FDC"/>
    <w:rsid w:val="1467CB36"/>
    <w:rsid w:val="18C62F43"/>
    <w:rsid w:val="18E0BEB1"/>
    <w:rsid w:val="1AC52DE6"/>
    <w:rsid w:val="1F4BFF26"/>
    <w:rsid w:val="29D7FCE2"/>
    <w:rsid w:val="2CC788E0"/>
    <w:rsid w:val="35D467E1"/>
    <w:rsid w:val="37378787"/>
    <w:rsid w:val="3B1F90F9"/>
    <w:rsid w:val="461C87B5"/>
    <w:rsid w:val="47C0A559"/>
    <w:rsid w:val="4BF5036B"/>
    <w:rsid w:val="4CAB549A"/>
    <w:rsid w:val="4DAFD959"/>
    <w:rsid w:val="5063FFEE"/>
    <w:rsid w:val="5251E39E"/>
    <w:rsid w:val="5DEDE43D"/>
    <w:rsid w:val="61E9B87B"/>
    <w:rsid w:val="62AD082A"/>
    <w:rsid w:val="63B2C604"/>
    <w:rsid w:val="65F800EB"/>
    <w:rsid w:val="6C6D8B1A"/>
    <w:rsid w:val="7B08AFA3"/>
    <w:rsid w:val="7C6D5269"/>
    <w:rsid w:val="7EDCC63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5BBBD"/>
  <w15:chartTrackingRefBased/>
  <w15:docId w15:val="{9FDB17D2-ED49-4F11-AF97-154FF51A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7B8B"/>
  </w:style>
  <w:style w:type="paragraph" w:styleId="Nadpis1">
    <w:name w:val="heading 1"/>
    <w:basedOn w:val="Normln"/>
    <w:link w:val="Nadpis1Char"/>
    <w:uiPriority w:val="9"/>
    <w:qFormat/>
    <w:rsid w:val="00FE34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paragraph" w:styleId="Nadpis2">
    <w:name w:val="heading 2"/>
    <w:basedOn w:val="Normln"/>
    <w:link w:val="Nadpis2Char"/>
    <w:uiPriority w:val="9"/>
    <w:qFormat/>
    <w:rsid w:val="00FE34F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link w:val="Nadpis3Char"/>
    <w:uiPriority w:val="9"/>
    <w:qFormat/>
    <w:rsid w:val="00FE34F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paragraph" w:styleId="Nadpis4">
    <w:name w:val="heading 4"/>
    <w:basedOn w:val="Normln"/>
    <w:next w:val="Normln"/>
    <w:link w:val="Nadpis4Char"/>
    <w:uiPriority w:val="9"/>
    <w:unhideWhenUsed/>
    <w:qFormat/>
    <w:rsid w:val="003F77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E34FE"/>
    <w:rPr>
      <w:rFonts w:ascii="Times New Roman" w:eastAsia="Times New Roman" w:hAnsi="Times New Roman" w:cs="Times New Roman"/>
      <w:b/>
      <w:bCs/>
      <w:kern w:val="36"/>
      <w:sz w:val="48"/>
      <w:szCs w:val="48"/>
      <w:lang w:eastAsia="cs-CZ"/>
      <w14:ligatures w14:val="none"/>
    </w:rPr>
  </w:style>
  <w:style w:type="character" w:customStyle="1" w:styleId="Nadpis2Char">
    <w:name w:val="Nadpis 2 Char"/>
    <w:basedOn w:val="Standardnpsmoodstavce"/>
    <w:link w:val="Nadpis2"/>
    <w:uiPriority w:val="9"/>
    <w:rsid w:val="00FE34FE"/>
    <w:rPr>
      <w:rFonts w:ascii="Times New Roman" w:eastAsia="Times New Roman" w:hAnsi="Times New Roman" w:cs="Times New Roman"/>
      <w:b/>
      <w:bCs/>
      <w:kern w:val="0"/>
      <w:sz w:val="36"/>
      <w:szCs w:val="36"/>
      <w:lang w:eastAsia="cs-CZ"/>
      <w14:ligatures w14:val="none"/>
    </w:rPr>
  </w:style>
  <w:style w:type="character" w:customStyle="1" w:styleId="Nadpis3Char">
    <w:name w:val="Nadpis 3 Char"/>
    <w:basedOn w:val="Standardnpsmoodstavce"/>
    <w:link w:val="Nadpis3"/>
    <w:uiPriority w:val="9"/>
    <w:rsid w:val="00FE34FE"/>
    <w:rPr>
      <w:rFonts w:ascii="Times New Roman" w:eastAsia="Times New Roman" w:hAnsi="Times New Roman" w:cs="Times New Roman"/>
      <w:b/>
      <w:bCs/>
      <w:kern w:val="0"/>
      <w:sz w:val="27"/>
      <w:szCs w:val="27"/>
      <w:lang w:eastAsia="cs-CZ"/>
      <w14:ligatures w14:val="none"/>
    </w:rPr>
  </w:style>
  <w:style w:type="paragraph" w:styleId="Normlnweb">
    <w:name w:val="Normal (Web)"/>
    <w:basedOn w:val="Normln"/>
    <w:uiPriority w:val="99"/>
    <w:semiHidden/>
    <w:unhideWhenUsed/>
    <w:rsid w:val="00FE34F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FE34FE"/>
    <w:rPr>
      <w:b/>
      <w:bCs/>
    </w:rPr>
  </w:style>
  <w:style w:type="character" w:styleId="KdHTML">
    <w:name w:val="HTML Code"/>
    <w:basedOn w:val="Standardnpsmoodstavce"/>
    <w:uiPriority w:val="99"/>
    <w:semiHidden/>
    <w:unhideWhenUsed/>
    <w:rsid w:val="00FE34FE"/>
    <w:rPr>
      <w:rFonts w:ascii="Courier New" w:eastAsia="Times New Roman" w:hAnsi="Courier New" w:cs="Courier New"/>
      <w:sz w:val="20"/>
      <w:szCs w:val="20"/>
    </w:rPr>
  </w:style>
  <w:style w:type="character" w:styleId="Odkaznakoment">
    <w:name w:val="annotation reference"/>
    <w:basedOn w:val="Standardnpsmoodstavce"/>
    <w:uiPriority w:val="99"/>
    <w:semiHidden/>
    <w:unhideWhenUsed/>
    <w:rsid w:val="007D4BE3"/>
    <w:rPr>
      <w:sz w:val="16"/>
      <w:szCs w:val="16"/>
    </w:rPr>
  </w:style>
  <w:style w:type="paragraph" w:styleId="Textkomente">
    <w:name w:val="annotation text"/>
    <w:basedOn w:val="Normln"/>
    <w:link w:val="TextkomenteChar"/>
    <w:uiPriority w:val="99"/>
    <w:unhideWhenUsed/>
    <w:rsid w:val="007D4BE3"/>
    <w:pPr>
      <w:spacing w:line="240" w:lineRule="auto"/>
    </w:pPr>
    <w:rPr>
      <w:sz w:val="20"/>
      <w:szCs w:val="20"/>
    </w:rPr>
  </w:style>
  <w:style w:type="character" w:customStyle="1" w:styleId="TextkomenteChar">
    <w:name w:val="Text komentáře Char"/>
    <w:basedOn w:val="Standardnpsmoodstavce"/>
    <w:link w:val="Textkomente"/>
    <w:uiPriority w:val="99"/>
    <w:rsid w:val="007D4BE3"/>
    <w:rPr>
      <w:sz w:val="20"/>
      <w:szCs w:val="20"/>
    </w:rPr>
  </w:style>
  <w:style w:type="paragraph" w:styleId="Pedmtkomente">
    <w:name w:val="annotation subject"/>
    <w:basedOn w:val="Textkomente"/>
    <w:next w:val="Textkomente"/>
    <w:link w:val="PedmtkomenteChar"/>
    <w:uiPriority w:val="99"/>
    <w:semiHidden/>
    <w:unhideWhenUsed/>
    <w:rsid w:val="007D4BE3"/>
    <w:rPr>
      <w:b/>
      <w:bCs/>
    </w:rPr>
  </w:style>
  <w:style w:type="character" w:customStyle="1" w:styleId="PedmtkomenteChar">
    <w:name w:val="Předmět komentáře Char"/>
    <w:basedOn w:val="TextkomenteChar"/>
    <w:link w:val="Pedmtkomente"/>
    <w:uiPriority w:val="99"/>
    <w:semiHidden/>
    <w:rsid w:val="007D4BE3"/>
    <w:rPr>
      <w:b/>
      <w:bCs/>
      <w:sz w:val="20"/>
      <w:szCs w:val="20"/>
    </w:rPr>
  </w:style>
  <w:style w:type="paragraph" w:styleId="Odstavecseseznamem">
    <w:name w:val="List Paragraph"/>
    <w:basedOn w:val="Normln"/>
    <w:uiPriority w:val="34"/>
    <w:qFormat/>
    <w:rsid w:val="00CF0D2A"/>
    <w:pPr>
      <w:ind w:left="720"/>
      <w:contextualSpacing/>
    </w:pPr>
  </w:style>
  <w:style w:type="paragraph" w:styleId="Zhlav">
    <w:name w:val="header"/>
    <w:basedOn w:val="Normln"/>
    <w:link w:val="ZhlavChar"/>
    <w:uiPriority w:val="99"/>
    <w:unhideWhenUsed/>
    <w:rsid w:val="00B804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0447"/>
  </w:style>
  <w:style w:type="paragraph" w:styleId="Zpat">
    <w:name w:val="footer"/>
    <w:basedOn w:val="Normln"/>
    <w:link w:val="ZpatChar"/>
    <w:uiPriority w:val="99"/>
    <w:unhideWhenUsed/>
    <w:rsid w:val="00B80447"/>
    <w:pPr>
      <w:tabs>
        <w:tab w:val="center" w:pos="4536"/>
        <w:tab w:val="right" w:pos="9072"/>
      </w:tabs>
      <w:spacing w:after="0" w:line="240" w:lineRule="auto"/>
    </w:pPr>
  </w:style>
  <w:style w:type="character" w:customStyle="1" w:styleId="ZpatChar">
    <w:name w:val="Zápatí Char"/>
    <w:basedOn w:val="Standardnpsmoodstavce"/>
    <w:link w:val="Zpat"/>
    <w:uiPriority w:val="99"/>
    <w:rsid w:val="00B80447"/>
  </w:style>
  <w:style w:type="character" w:styleId="Zstupntext">
    <w:name w:val="Placeholder Text"/>
    <w:basedOn w:val="Standardnpsmoodstavce"/>
    <w:uiPriority w:val="99"/>
    <w:semiHidden/>
    <w:rsid w:val="00A00DF4"/>
    <w:rPr>
      <w:color w:val="808080"/>
    </w:rPr>
  </w:style>
  <w:style w:type="character" w:styleId="Hypertextovodkaz">
    <w:name w:val="Hyperlink"/>
    <w:basedOn w:val="Standardnpsmoodstavce"/>
    <w:uiPriority w:val="99"/>
    <w:unhideWhenUsed/>
    <w:rsid w:val="009C7A75"/>
    <w:rPr>
      <w:color w:val="0563C1" w:themeColor="hyperlink"/>
      <w:u w:val="single"/>
    </w:rPr>
  </w:style>
  <w:style w:type="character" w:styleId="Nevyeenzmnka">
    <w:name w:val="Unresolved Mention"/>
    <w:basedOn w:val="Standardnpsmoodstavce"/>
    <w:uiPriority w:val="99"/>
    <w:semiHidden/>
    <w:unhideWhenUsed/>
    <w:rsid w:val="009C7A75"/>
    <w:rPr>
      <w:color w:val="605E5C"/>
      <w:shd w:val="clear" w:color="auto" w:fill="E1DFDD"/>
    </w:rPr>
  </w:style>
  <w:style w:type="paragraph" w:styleId="Revize">
    <w:name w:val="Revision"/>
    <w:hidden/>
    <w:uiPriority w:val="99"/>
    <w:semiHidden/>
    <w:rsid w:val="00022ED8"/>
    <w:pPr>
      <w:spacing w:after="0" w:line="240" w:lineRule="auto"/>
    </w:pPr>
  </w:style>
  <w:style w:type="character" w:styleId="Sledovanodkaz">
    <w:name w:val="FollowedHyperlink"/>
    <w:basedOn w:val="Standardnpsmoodstavce"/>
    <w:uiPriority w:val="99"/>
    <w:semiHidden/>
    <w:unhideWhenUsed/>
    <w:rsid w:val="00E7434E"/>
    <w:rPr>
      <w:color w:val="954F72" w:themeColor="followedHyperlink"/>
      <w:u w:val="single"/>
    </w:rPr>
  </w:style>
  <w:style w:type="character" w:customStyle="1" w:styleId="Nadpis4Char">
    <w:name w:val="Nadpis 4 Char"/>
    <w:basedOn w:val="Standardnpsmoodstavce"/>
    <w:link w:val="Nadpis4"/>
    <w:uiPriority w:val="9"/>
    <w:rsid w:val="003F772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396">
      <w:bodyDiv w:val="1"/>
      <w:marLeft w:val="0"/>
      <w:marRight w:val="0"/>
      <w:marTop w:val="0"/>
      <w:marBottom w:val="0"/>
      <w:divBdr>
        <w:top w:val="none" w:sz="0" w:space="0" w:color="auto"/>
        <w:left w:val="none" w:sz="0" w:space="0" w:color="auto"/>
        <w:bottom w:val="none" w:sz="0" w:space="0" w:color="auto"/>
        <w:right w:val="none" w:sz="0" w:space="0" w:color="auto"/>
      </w:divBdr>
    </w:div>
    <w:div w:id="233509330">
      <w:bodyDiv w:val="1"/>
      <w:marLeft w:val="0"/>
      <w:marRight w:val="0"/>
      <w:marTop w:val="0"/>
      <w:marBottom w:val="0"/>
      <w:divBdr>
        <w:top w:val="none" w:sz="0" w:space="0" w:color="auto"/>
        <w:left w:val="none" w:sz="0" w:space="0" w:color="auto"/>
        <w:bottom w:val="none" w:sz="0" w:space="0" w:color="auto"/>
        <w:right w:val="none" w:sz="0" w:space="0" w:color="auto"/>
      </w:divBdr>
    </w:div>
    <w:div w:id="907614488">
      <w:bodyDiv w:val="1"/>
      <w:marLeft w:val="0"/>
      <w:marRight w:val="0"/>
      <w:marTop w:val="0"/>
      <w:marBottom w:val="0"/>
      <w:divBdr>
        <w:top w:val="none" w:sz="0" w:space="0" w:color="auto"/>
        <w:left w:val="none" w:sz="0" w:space="0" w:color="auto"/>
        <w:bottom w:val="none" w:sz="0" w:space="0" w:color="auto"/>
        <w:right w:val="none" w:sz="0" w:space="0" w:color="auto"/>
      </w:divBdr>
    </w:div>
    <w:div w:id="991327862">
      <w:bodyDiv w:val="1"/>
      <w:marLeft w:val="0"/>
      <w:marRight w:val="0"/>
      <w:marTop w:val="0"/>
      <w:marBottom w:val="0"/>
      <w:divBdr>
        <w:top w:val="none" w:sz="0" w:space="0" w:color="auto"/>
        <w:left w:val="none" w:sz="0" w:space="0" w:color="auto"/>
        <w:bottom w:val="none" w:sz="0" w:space="0" w:color="auto"/>
        <w:right w:val="none" w:sz="0" w:space="0" w:color="auto"/>
      </w:divBdr>
    </w:div>
    <w:div w:id="100678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pus.starseu.org/login" TargetMode="External"/><Relationship Id="rId18" Type="http://schemas.openxmlformats.org/officeDocument/2006/relationships/hyperlink" Target="https://www.info.diva-portal.org/" TargetMode="External"/><Relationship Id="rId3" Type="http://schemas.openxmlformats.org/officeDocument/2006/relationships/customXml" Target="../customXml/item3.xml"/><Relationship Id="rId21" Type="http://schemas.openxmlformats.org/officeDocument/2006/relationships/hyperlink" Target="https://research-data.ull.es/research-data/" TargetMode="External"/><Relationship Id="rId7" Type="http://schemas.openxmlformats.org/officeDocument/2006/relationships/settings" Target="settings.xml"/><Relationship Id="rId12" Type="http://schemas.openxmlformats.org/officeDocument/2006/relationships/hyperlink" Target="https://starseu.org" TargetMode="External"/><Relationship Id="rId17" Type="http://schemas.openxmlformats.org/officeDocument/2006/relationships/hyperlink" Target="https://dspac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taverse.nl/dataverse/hanze" TargetMode="External"/><Relationship Id="rId20" Type="http://schemas.openxmlformats.org/officeDocument/2006/relationships/hyperlink" Target="https://researchdata.s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seu.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ataverse.or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nd.se/en/doris-resear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us.starseu.org/login"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a6860e-8a51-4123-86a8-1069862256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5C127701F4BAE4BB47FDAE4D83C0BB4" ma:contentTypeVersion="13" ma:contentTypeDescription="Vytvoří nový dokument" ma:contentTypeScope="" ma:versionID="43156224deff4f3547cd1ec875ac32fe">
  <xsd:schema xmlns:xsd="http://www.w3.org/2001/XMLSchema" xmlns:xs="http://www.w3.org/2001/XMLSchema" xmlns:p="http://schemas.microsoft.com/office/2006/metadata/properties" xmlns:ns2="5ea6860e-8a51-4123-86a8-1069862256c5" xmlns:ns3="67140b12-396d-4edb-8a24-2b851721c22a" targetNamespace="http://schemas.microsoft.com/office/2006/metadata/properties" ma:root="true" ma:fieldsID="f7490e797474aa58e6ccb57b5a8e744b" ns2:_="" ns3:_="">
    <xsd:import namespace="5ea6860e-8a51-4123-86a8-1069862256c5"/>
    <xsd:import namespace="67140b12-396d-4edb-8a24-2b851721c2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6860e-8a51-4123-86a8-106986225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140b12-396d-4edb-8a24-2b851721c22a"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EE67E-EF15-449C-B23A-5EB44396D0F3}">
  <ds:schemaRefs>
    <ds:schemaRef ds:uri="http://schemas.microsoft.com/office/2006/metadata/properties"/>
    <ds:schemaRef ds:uri="http://schemas.microsoft.com/office/infopath/2007/PartnerControls"/>
    <ds:schemaRef ds:uri="5ea6860e-8a51-4123-86a8-1069862256c5"/>
  </ds:schemaRefs>
</ds:datastoreItem>
</file>

<file path=customXml/itemProps2.xml><?xml version="1.0" encoding="utf-8"?>
<ds:datastoreItem xmlns:ds="http://schemas.openxmlformats.org/officeDocument/2006/customXml" ds:itemID="{769808CC-1209-4526-85B8-D02F1982E648}">
  <ds:schemaRefs>
    <ds:schemaRef ds:uri="http://schemas.openxmlformats.org/officeDocument/2006/bibliography"/>
  </ds:schemaRefs>
</ds:datastoreItem>
</file>

<file path=customXml/itemProps3.xml><?xml version="1.0" encoding="utf-8"?>
<ds:datastoreItem xmlns:ds="http://schemas.openxmlformats.org/officeDocument/2006/customXml" ds:itemID="{7FDCA42A-0834-42D0-AF67-361AC0599DD3}">
  <ds:schemaRefs>
    <ds:schemaRef ds:uri="http://schemas.microsoft.com/sharepoint/v3/contenttype/forms"/>
  </ds:schemaRefs>
</ds:datastoreItem>
</file>

<file path=customXml/itemProps4.xml><?xml version="1.0" encoding="utf-8"?>
<ds:datastoreItem xmlns:ds="http://schemas.openxmlformats.org/officeDocument/2006/customXml" ds:itemID="{7874F3E6-B171-47B9-BE14-A79E975B9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6860e-8a51-4123-86a8-1069862256c5"/>
    <ds:schemaRef ds:uri="67140b12-396d-4edb-8a24-2b851721c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1492</Words>
  <Characters>8807</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Podmol</dc:creator>
  <cp:keywords/>
  <dc:description/>
  <cp:lastModifiedBy>Jan Podmol</cp:lastModifiedBy>
  <cp:revision>6</cp:revision>
  <cp:lastPrinted>2025-07-23T08:59:00Z</cp:lastPrinted>
  <dcterms:created xsi:type="dcterms:W3CDTF">2025-08-07T08:32:00Z</dcterms:created>
  <dcterms:modified xsi:type="dcterms:W3CDTF">2025-08-22T14:14:00Z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0x01010095C127701F4BAE4BB47FDAE4D83C0BB4</vt:lpwstr>
  </property>
  <property fmtid="{D5CDD505-2E9C-101B-9397-08002B2CF9AE}" pid="3" name="MediaServiceImageTags">
    <vt:lpwstr/>
  </property>
  <property fmtid="{D5CDD505-2E9C-101B-9397-08002B2CF9AE}" pid="4" name="GrammarlyDocumentId">
    <vt:lpwstr>8be09607-4c80-4ae7-b7e6-a0403877ccc3</vt:lpwstr>
  </property>
</Properties>
</file>